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2FD40" w14:textId="77777777" w:rsidR="00BC7247" w:rsidRPr="00227727" w:rsidRDefault="00BC7247" w:rsidP="00BC7247">
      <w:pPr>
        <w:pStyle w:val="Title"/>
        <w:rPr>
          <w:rFonts w:ascii="Arial" w:hAnsi="Arial" w:cs="Arial"/>
          <w:b/>
          <w:bCs/>
          <w:i/>
          <w:iCs/>
          <w:sz w:val="24"/>
          <w:szCs w:val="24"/>
        </w:rPr>
      </w:pPr>
    </w:p>
    <w:p w14:paraId="74AA4482" w14:textId="77777777" w:rsidR="00BC7247" w:rsidRPr="00227727" w:rsidRDefault="00BC7247" w:rsidP="00BC7247">
      <w:pPr>
        <w:pStyle w:val="Title"/>
        <w:rPr>
          <w:rFonts w:ascii="Arial" w:hAnsi="Arial" w:cs="Arial"/>
          <w:b/>
          <w:bCs/>
          <w:i/>
          <w:iCs/>
          <w:sz w:val="24"/>
          <w:szCs w:val="24"/>
        </w:rPr>
      </w:pPr>
    </w:p>
    <w:p w14:paraId="43131B46" w14:textId="77777777" w:rsidR="00BC7247" w:rsidRPr="00227727" w:rsidRDefault="00BC7247" w:rsidP="00BC7247">
      <w:pPr>
        <w:pStyle w:val="Title"/>
        <w:rPr>
          <w:rFonts w:ascii="Arial" w:hAnsi="Arial" w:cs="Arial"/>
          <w:b/>
          <w:bCs/>
          <w:i/>
          <w:iCs/>
          <w:sz w:val="24"/>
          <w:szCs w:val="24"/>
        </w:rPr>
      </w:pPr>
    </w:p>
    <w:p w14:paraId="4F0A236C" w14:textId="77777777" w:rsidR="00BC7247" w:rsidRPr="00227727" w:rsidRDefault="00BC7247" w:rsidP="00BC7247">
      <w:pPr>
        <w:rPr>
          <w:rFonts w:ascii="Arial" w:hAnsi="Arial" w:cs="Arial"/>
        </w:rPr>
      </w:pPr>
    </w:p>
    <w:p w14:paraId="52FDBBA7" w14:textId="77777777" w:rsidR="00BC7247" w:rsidRPr="00227727" w:rsidRDefault="00BC7247" w:rsidP="00BC7247">
      <w:pPr>
        <w:rPr>
          <w:rFonts w:ascii="Arial" w:hAnsi="Arial" w:cs="Arial"/>
        </w:rPr>
      </w:pPr>
    </w:p>
    <w:p w14:paraId="6B14D234" w14:textId="77777777" w:rsidR="00BC7247" w:rsidRPr="00227727" w:rsidRDefault="00BC7247" w:rsidP="00BC7247">
      <w:pPr>
        <w:rPr>
          <w:rFonts w:ascii="Arial" w:hAnsi="Arial" w:cs="Arial"/>
        </w:rPr>
      </w:pPr>
    </w:p>
    <w:p w14:paraId="18D0FB3F" w14:textId="77777777" w:rsidR="00BC7247" w:rsidRPr="00227727" w:rsidRDefault="00BC7247" w:rsidP="00BC7247">
      <w:pPr>
        <w:rPr>
          <w:rFonts w:ascii="Arial" w:hAnsi="Arial" w:cs="Arial"/>
        </w:rPr>
      </w:pPr>
    </w:p>
    <w:p w14:paraId="3BAD4F1D" w14:textId="188465D5" w:rsidR="00BC7247" w:rsidRPr="00227727" w:rsidRDefault="0072474E" w:rsidP="002479BC">
      <w:pPr>
        <w:pStyle w:val="Heading1"/>
        <w:rPr>
          <w:rFonts w:ascii="Arial" w:hAnsi="Arial" w:cs="Arial"/>
          <w:color w:val="000000" w:themeColor="text1"/>
        </w:rPr>
      </w:pPr>
      <w:bookmarkStart w:id="0" w:name="_Toc187744833"/>
      <w:bookmarkStart w:id="1" w:name="_Toc187744915"/>
      <w:bookmarkStart w:id="2" w:name="_Toc197072215"/>
      <w:r w:rsidRPr="00227727">
        <w:rPr>
          <w:rFonts w:ascii="Arial" w:hAnsi="Arial" w:cs="Arial"/>
          <w:color w:val="000000" w:themeColor="text1"/>
        </w:rPr>
        <w:t>WORK SMARTER, THRIVE BETTER: HOW SMARTER WORKING AND HRM STRENGTHEN WELL-BEING AND JOB PERFORMANCE AMONG PUBLIC SECTOR EMPLOYEES IN THE UK</w:t>
      </w:r>
      <w:bookmarkEnd w:id="0"/>
      <w:bookmarkEnd w:id="1"/>
      <w:bookmarkEnd w:id="2"/>
    </w:p>
    <w:p w14:paraId="02C0F0FE" w14:textId="77777777" w:rsidR="00BC7247" w:rsidRPr="00227727" w:rsidRDefault="00BC7247" w:rsidP="00BC7247">
      <w:pPr>
        <w:rPr>
          <w:rFonts w:ascii="Arial" w:hAnsi="Arial" w:cs="Arial"/>
        </w:rPr>
      </w:pPr>
    </w:p>
    <w:p w14:paraId="3EE9F180" w14:textId="77777777" w:rsidR="00BC7247" w:rsidRPr="00227727" w:rsidRDefault="00BC7247" w:rsidP="00BC7247">
      <w:pPr>
        <w:jc w:val="center"/>
        <w:rPr>
          <w:rFonts w:ascii="Arial" w:hAnsi="Arial" w:cs="Arial"/>
        </w:rPr>
      </w:pPr>
    </w:p>
    <w:p w14:paraId="24795CE9" w14:textId="77777777" w:rsidR="00BC7247" w:rsidRPr="00227727" w:rsidRDefault="00BC7247" w:rsidP="00BC7247">
      <w:pPr>
        <w:rPr>
          <w:rFonts w:ascii="Arial" w:hAnsi="Arial" w:cs="Arial"/>
          <w:sz w:val="24"/>
          <w:szCs w:val="24"/>
        </w:rPr>
      </w:pPr>
    </w:p>
    <w:p w14:paraId="5EEE1090" w14:textId="77777777" w:rsidR="00BC7247" w:rsidRPr="00227727" w:rsidRDefault="00BC7247" w:rsidP="00BC7247">
      <w:pPr>
        <w:rPr>
          <w:rFonts w:ascii="Arial" w:hAnsi="Arial" w:cs="Arial"/>
          <w:sz w:val="24"/>
          <w:szCs w:val="24"/>
        </w:rPr>
      </w:pPr>
    </w:p>
    <w:p w14:paraId="6DFE4DCF" w14:textId="77777777" w:rsidR="00BC7247" w:rsidRPr="00227727" w:rsidRDefault="00BC7247" w:rsidP="00BC7247">
      <w:pPr>
        <w:rPr>
          <w:rFonts w:ascii="Arial" w:hAnsi="Arial" w:cs="Arial"/>
          <w:sz w:val="24"/>
          <w:szCs w:val="24"/>
        </w:rPr>
      </w:pPr>
    </w:p>
    <w:p w14:paraId="4FFBF4CF" w14:textId="77777777" w:rsidR="00BC7247" w:rsidRPr="00227727" w:rsidRDefault="00BC7247" w:rsidP="00BC7247">
      <w:pPr>
        <w:rPr>
          <w:rFonts w:ascii="Arial" w:hAnsi="Arial" w:cs="Arial"/>
          <w:sz w:val="24"/>
          <w:szCs w:val="24"/>
        </w:rPr>
      </w:pPr>
    </w:p>
    <w:p w14:paraId="0FEB97B9" w14:textId="77777777" w:rsidR="00BC7247" w:rsidRPr="00227727" w:rsidRDefault="00BC7247" w:rsidP="00BC7247">
      <w:pPr>
        <w:rPr>
          <w:rFonts w:ascii="Arial" w:hAnsi="Arial" w:cs="Arial"/>
          <w:sz w:val="24"/>
          <w:szCs w:val="24"/>
        </w:rPr>
      </w:pPr>
    </w:p>
    <w:p w14:paraId="5C28449C" w14:textId="77777777" w:rsidR="00BC7247" w:rsidRPr="00227727" w:rsidRDefault="00BC7247" w:rsidP="00BC7247">
      <w:pPr>
        <w:rPr>
          <w:rFonts w:ascii="Arial" w:hAnsi="Arial" w:cs="Arial"/>
          <w:sz w:val="24"/>
          <w:szCs w:val="24"/>
        </w:rPr>
      </w:pPr>
    </w:p>
    <w:p w14:paraId="0FDCFB8D" w14:textId="77777777" w:rsidR="00BC7247" w:rsidRPr="00227727" w:rsidRDefault="00BC7247" w:rsidP="00BC7247">
      <w:pPr>
        <w:rPr>
          <w:rFonts w:ascii="Arial" w:hAnsi="Arial" w:cs="Arial"/>
          <w:sz w:val="24"/>
          <w:szCs w:val="24"/>
        </w:rPr>
      </w:pPr>
    </w:p>
    <w:p w14:paraId="2BAB12C3" w14:textId="77777777" w:rsidR="00BC7247" w:rsidRPr="00227727" w:rsidRDefault="00BC7247" w:rsidP="00BC7247">
      <w:pPr>
        <w:rPr>
          <w:rFonts w:ascii="Arial" w:hAnsi="Arial" w:cs="Arial"/>
          <w:sz w:val="24"/>
          <w:szCs w:val="24"/>
        </w:rPr>
      </w:pPr>
    </w:p>
    <w:p w14:paraId="5CFB81B4" w14:textId="77777777" w:rsidR="00BC7247" w:rsidRPr="00227727" w:rsidRDefault="00BC7247" w:rsidP="00BC7247">
      <w:pPr>
        <w:rPr>
          <w:rFonts w:ascii="Arial" w:hAnsi="Arial" w:cs="Arial"/>
          <w:b/>
          <w:bCs/>
          <w:sz w:val="24"/>
          <w:szCs w:val="24"/>
        </w:rPr>
      </w:pPr>
    </w:p>
    <w:p w14:paraId="52DC1EDA" w14:textId="77777777" w:rsidR="00BC7247" w:rsidRPr="00227727" w:rsidRDefault="00BC7247" w:rsidP="00BC7247">
      <w:pPr>
        <w:rPr>
          <w:rFonts w:ascii="Arial" w:hAnsi="Arial" w:cs="Arial"/>
          <w:b/>
          <w:bCs/>
          <w:sz w:val="24"/>
          <w:szCs w:val="24"/>
        </w:rPr>
      </w:pPr>
    </w:p>
    <w:p w14:paraId="61987200" w14:textId="77777777" w:rsidR="00BC7247" w:rsidRPr="00227727" w:rsidRDefault="00BC7247" w:rsidP="00BC7247">
      <w:pPr>
        <w:rPr>
          <w:rFonts w:ascii="Arial" w:hAnsi="Arial" w:cs="Arial"/>
          <w:b/>
          <w:bCs/>
          <w:sz w:val="24"/>
          <w:szCs w:val="24"/>
        </w:rPr>
      </w:pPr>
    </w:p>
    <w:p w14:paraId="63926684" w14:textId="77777777" w:rsidR="00BC7247" w:rsidRDefault="00BC7247" w:rsidP="00BC7247">
      <w:pPr>
        <w:jc w:val="center"/>
        <w:rPr>
          <w:rFonts w:ascii="Arial" w:hAnsi="Arial" w:cs="Arial"/>
          <w:sz w:val="24"/>
          <w:szCs w:val="24"/>
        </w:rPr>
      </w:pPr>
    </w:p>
    <w:p w14:paraId="5A840BC6" w14:textId="77777777" w:rsidR="00693454" w:rsidRPr="00693454" w:rsidRDefault="00693454" w:rsidP="00BC7247">
      <w:pPr>
        <w:jc w:val="center"/>
        <w:rPr>
          <w:rFonts w:ascii="Arial" w:hAnsi="Arial" w:cs="Arial"/>
          <w:sz w:val="24"/>
          <w:szCs w:val="24"/>
        </w:rPr>
      </w:pPr>
    </w:p>
    <w:p w14:paraId="15D1B3C6" w14:textId="1F030B61" w:rsidR="00BC7247" w:rsidRPr="00693454" w:rsidRDefault="00BC7247" w:rsidP="00BC7247">
      <w:pPr>
        <w:jc w:val="center"/>
        <w:rPr>
          <w:rFonts w:ascii="Arial" w:hAnsi="Arial" w:cs="Arial"/>
          <w:sz w:val="24"/>
          <w:szCs w:val="24"/>
        </w:rPr>
      </w:pPr>
      <w:r w:rsidRPr="00693454">
        <w:rPr>
          <w:rFonts w:ascii="Arial" w:hAnsi="Arial" w:cs="Arial"/>
          <w:sz w:val="24"/>
          <w:szCs w:val="24"/>
        </w:rPr>
        <w:t xml:space="preserve">DRAFT – </w:t>
      </w:r>
      <w:r w:rsidR="00227727" w:rsidRPr="00693454">
        <w:rPr>
          <w:rFonts w:ascii="Arial" w:hAnsi="Arial" w:cs="Arial"/>
          <w:sz w:val="24"/>
          <w:szCs w:val="24"/>
        </w:rPr>
        <w:t>May</w:t>
      </w:r>
      <w:r w:rsidR="002479BC" w:rsidRPr="00693454">
        <w:rPr>
          <w:rFonts w:ascii="Arial" w:hAnsi="Arial" w:cs="Arial"/>
          <w:sz w:val="24"/>
          <w:szCs w:val="24"/>
        </w:rPr>
        <w:t xml:space="preserve"> 2025</w:t>
      </w:r>
    </w:p>
    <w:p w14:paraId="093E497D" w14:textId="1F037DC9" w:rsidR="009A2415" w:rsidRPr="00693454" w:rsidRDefault="009A2415" w:rsidP="00BC7247">
      <w:pPr>
        <w:jc w:val="center"/>
        <w:rPr>
          <w:rFonts w:ascii="Arial" w:hAnsi="Arial" w:cs="Arial"/>
          <w:sz w:val="24"/>
          <w:szCs w:val="24"/>
        </w:rPr>
      </w:pPr>
      <w:r w:rsidRPr="00693454">
        <w:rPr>
          <w:rFonts w:ascii="Arial" w:hAnsi="Arial" w:cs="Arial"/>
          <w:sz w:val="24"/>
          <w:szCs w:val="24"/>
        </w:rPr>
        <w:t>Harey Vigneswaran</w:t>
      </w:r>
    </w:p>
    <w:p w14:paraId="28EA7DA3" w14:textId="77777777" w:rsidR="00BC7247" w:rsidRPr="00227727" w:rsidRDefault="00BC7247" w:rsidP="00BC7247">
      <w:pPr>
        <w:rPr>
          <w:rFonts w:ascii="Arial" w:hAnsi="Arial" w:cs="Arial"/>
          <w:sz w:val="24"/>
          <w:szCs w:val="24"/>
        </w:rPr>
      </w:pPr>
    </w:p>
    <w:p w14:paraId="46E28D5D" w14:textId="77777777" w:rsidR="00BC7247" w:rsidRPr="00227727" w:rsidRDefault="00BC7247" w:rsidP="00BC7247">
      <w:pPr>
        <w:rPr>
          <w:rFonts w:ascii="Arial" w:hAnsi="Arial" w:cs="Arial"/>
          <w:sz w:val="24"/>
          <w:szCs w:val="24"/>
        </w:rPr>
      </w:pPr>
    </w:p>
    <w:p w14:paraId="7C55F6A2" w14:textId="77777777" w:rsidR="00BC7247" w:rsidRPr="00227727" w:rsidRDefault="00BC7247" w:rsidP="00BC7247">
      <w:pPr>
        <w:rPr>
          <w:rFonts w:ascii="Arial" w:hAnsi="Arial" w:cs="Arial"/>
          <w:sz w:val="24"/>
          <w:szCs w:val="24"/>
        </w:rPr>
      </w:pPr>
    </w:p>
    <w:p w14:paraId="08E39A7E" w14:textId="77777777" w:rsidR="00BC7247" w:rsidRPr="00227727" w:rsidRDefault="00BC7247" w:rsidP="00BC7247">
      <w:pPr>
        <w:rPr>
          <w:rFonts w:ascii="Arial" w:hAnsi="Arial" w:cs="Arial"/>
          <w:sz w:val="24"/>
          <w:szCs w:val="24"/>
        </w:rPr>
      </w:pPr>
    </w:p>
    <w:sdt>
      <w:sdtPr>
        <w:rPr>
          <w:rFonts w:ascii="Arial" w:eastAsiaTheme="minorHAnsi" w:hAnsi="Arial" w:cs="Arial"/>
          <w:b w:val="0"/>
          <w:bCs w:val="0"/>
          <w:spacing w:val="0"/>
          <w:sz w:val="24"/>
          <w:szCs w:val="24"/>
        </w:rPr>
        <w:id w:val="1234349401"/>
        <w:docPartObj>
          <w:docPartGallery w:val="Table of Contents"/>
          <w:docPartUnique/>
        </w:docPartObj>
      </w:sdtPr>
      <w:sdtEndPr>
        <w:rPr>
          <w:noProof/>
        </w:rPr>
      </w:sdtEndPr>
      <w:sdtContent>
        <w:p w14:paraId="6687B32E" w14:textId="77777777" w:rsidR="00227727" w:rsidRPr="00227727" w:rsidRDefault="00227727" w:rsidP="00227727">
          <w:pPr>
            <w:pStyle w:val="TOCHeading"/>
            <w:spacing w:line="360" w:lineRule="auto"/>
            <w:rPr>
              <w:rFonts w:ascii="Arial" w:hAnsi="Arial" w:cs="Arial"/>
              <w:b w:val="0"/>
              <w:bCs w:val="0"/>
              <w:sz w:val="24"/>
              <w:szCs w:val="24"/>
            </w:rPr>
          </w:pPr>
          <w:r w:rsidRPr="00227727">
            <w:rPr>
              <w:rFonts w:ascii="Arial" w:hAnsi="Arial" w:cs="Arial"/>
              <w:b w:val="0"/>
              <w:bCs w:val="0"/>
              <w:sz w:val="24"/>
              <w:szCs w:val="24"/>
            </w:rPr>
            <w:t>TABLE OF CONTENT</w:t>
          </w:r>
        </w:p>
        <w:p w14:paraId="7EF1D0DC" w14:textId="77777777" w:rsidR="00227727" w:rsidRPr="00693454" w:rsidRDefault="00227727" w:rsidP="00227727">
          <w:pPr>
            <w:spacing w:line="360" w:lineRule="auto"/>
            <w:rPr>
              <w:rFonts w:ascii="Arial" w:hAnsi="Arial" w:cs="Arial"/>
              <w:b/>
              <w:bCs/>
              <w:sz w:val="24"/>
              <w:szCs w:val="24"/>
            </w:rPr>
          </w:pPr>
        </w:p>
        <w:p w14:paraId="7D98F9C8" w14:textId="1497DCEA" w:rsidR="00693454" w:rsidRPr="00693454" w:rsidRDefault="00227727">
          <w:pPr>
            <w:pStyle w:val="TOC1"/>
            <w:rPr>
              <w:rFonts w:ascii="Arial" w:eastAsiaTheme="minorEastAsia" w:hAnsi="Arial" w:cs="Arial"/>
              <w:i w:val="0"/>
              <w:iCs w:val="0"/>
              <w:noProof/>
              <w:kern w:val="2"/>
              <w:szCs w:val="24"/>
              <w:lang w:eastAsia="en-GB" w:bidi="ta-IN"/>
              <w14:ligatures w14:val="standardContextual"/>
            </w:rPr>
          </w:pPr>
          <w:r w:rsidRPr="00693454">
            <w:rPr>
              <w:rFonts w:ascii="Arial" w:hAnsi="Arial" w:cs="Arial"/>
              <w:szCs w:val="24"/>
            </w:rPr>
            <w:fldChar w:fldCharType="begin"/>
          </w:r>
          <w:r w:rsidRPr="00693454">
            <w:rPr>
              <w:rFonts w:ascii="Arial" w:hAnsi="Arial" w:cs="Arial"/>
              <w:szCs w:val="24"/>
            </w:rPr>
            <w:instrText xml:space="preserve"> TOC \o "1-2" \h \z \u </w:instrText>
          </w:r>
          <w:r w:rsidRPr="00693454">
            <w:rPr>
              <w:rFonts w:ascii="Arial" w:hAnsi="Arial" w:cs="Arial"/>
              <w:szCs w:val="24"/>
            </w:rPr>
            <w:fldChar w:fldCharType="separate"/>
          </w:r>
        </w:p>
        <w:p w14:paraId="70B3744D" w14:textId="576C79B8"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16" w:history="1">
            <w:r w:rsidRPr="00693454">
              <w:rPr>
                <w:rStyle w:val="Hyperlink"/>
                <w:rFonts w:ascii="Arial" w:hAnsi="Arial" w:cs="Arial"/>
                <w:b w:val="0"/>
                <w:bCs w:val="0"/>
                <w:noProof/>
                <w:sz w:val="24"/>
                <w:szCs w:val="24"/>
              </w:rPr>
              <w:t>INTRODUCTION</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_Toc197072216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3</w:t>
            </w:r>
            <w:r w:rsidRPr="00693454">
              <w:rPr>
                <w:rFonts w:ascii="Arial" w:hAnsi="Arial" w:cs="Arial"/>
                <w:b w:val="0"/>
                <w:bCs w:val="0"/>
                <w:noProof/>
                <w:webHidden/>
                <w:sz w:val="24"/>
                <w:szCs w:val="24"/>
              </w:rPr>
              <w:fldChar w:fldCharType="end"/>
            </w:r>
          </w:hyperlink>
        </w:p>
        <w:p w14:paraId="2F81978C" w14:textId="42439408"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17" w:history="1">
            <w:r w:rsidRPr="00693454">
              <w:rPr>
                <w:rStyle w:val="Hyperlink"/>
                <w:rFonts w:ascii="Arial" w:hAnsi="Arial" w:cs="Arial"/>
                <w:b w:val="0"/>
                <w:bCs w:val="0"/>
                <w:noProof/>
                <w:sz w:val="24"/>
                <w:szCs w:val="24"/>
              </w:rPr>
              <w:t>LITERATURE REVIEW</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_Toc197072217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23</w:t>
            </w:r>
            <w:r w:rsidRPr="00693454">
              <w:rPr>
                <w:rFonts w:ascii="Arial" w:hAnsi="Arial" w:cs="Arial"/>
                <w:b w:val="0"/>
                <w:bCs w:val="0"/>
                <w:noProof/>
                <w:webHidden/>
                <w:sz w:val="24"/>
                <w:szCs w:val="24"/>
              </w:rPr>
              <w:fldChar w:fldCharType="end"/>
            </w:r>
          </w:hyperlink>
        </w:p>
        <w:p w14:paraId="199FAD27" w14:textId="397B52E1"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18" w:history="1">
            <w:r w:rsidRPr="00693454">
              <w:rPr>
                <w:rStyle w:val="Hyperlink"/>
                <w:rFonts w:ascii="Arial" w:hAnsi="Arial" w:cs="Arial"/>
                <w:b w:val="0"/>
                <w:bCs w:val="0"/>
                <w:noProof/>
                <w:sz w:val="24"/>
                <w:szCs w:val="24"/>
              </w:rPr>
              <w:t>THEORETICAL FRAMEWORK AND HYPOTHESES DEVELOPMENT</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_Toc197072218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40</w:t>
            </w:r>
            <w:r w:rsidRPr="00693454">
              <w:rPr>
                <w:rFonts w:ascii="Arial" w:hAnsi="Arial" w:cs="Arial"/>
                <w:b w:val="0"/>
                <w:bCs w:val="0"/>
                <w:noProof/>
                <w:webHidden/>
                <w:sz w:val="24"/>
                <w:szCs w:val="24"/>
              </w:rPr>
              <w:fldChar w:fldCharType="end"/>
            </w:r>
          </w:hyperlink>
        </w:p>
        <w:p w14:paraId="1DC27C19" w14:textId="0C485C2F"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19" w:history="1">
            <w:r w:rsidRPr="00693454">
              <w:rPr>
                <w:rStyle w:val="Hyperlink"/>
                <w:rFonts w:ascii="Arial" w:hAnsi="Arial" w:cs="Arial"/>
                <w:b w:val="0"/>
                <w:bCs w:val="0"/>
                <w:noProof/>
                <w:sz w:val="24"/>
                <w:szCs w:val="24"/>
              </w:rPr>
              <w:t>METHODOLOGY</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_Toc197072219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61</w:t>
            </w:r>
            <w:r w:rsidRPr="00693454">
              <w:rPr>
                <w:rFonts w:ascii="Arial" w:hAnsi="Arial" w:cs="Arial"/>
                <w:b w:val="0"/>
                <w:bCs w:val="0"/>
                <w:noProof/>
                <w:webHidden/>
                <w:sz w:val="24"/>
                <w:szCs w:val="24"/>
              </w:rPr>
              <w:fldChar w:fldCharType="end"/>
            </w:r>
          </w:hyperlink>
        </w:p>
        <w:p w14:paraId="491F9722" w14:textId="2F1CB617"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20" w:history="1">
            <w:r w:rsidRPr="00693454">
              <w:rPr>
                <w:rStyle w:val="Hyperlink"/>
                <w:rFonts w:ascii="Arial" w:hAnsi="Arial" w:cs="Arial"/>
                <w:b w:val="0"/>
                <w:bCs w:val="0"/>
                <w:noProof/>
                <w:sz w:val="24"/>
                <w:szCs w:val="24"/>
              </w:rPr>
              <w:t>RESULTS</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_Toc197072220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77</w:t>
            </w:r>
            <w:r w:rsidRPr="00693454">
              <w:rPr>
                <w:rFonts w:ascii="Arial" w:hAnsi="Arial" w:cs="Arial"/>
                <w:b w:val="0"/>
                <w:bCs w:val="0"/>
                <w:noProof/>
                <w:webHidden/>
                <w:sz w:val="24"/>
                <w:szCs w:val="24"/>
              </w:rPr>
              <w:fldChar w:fldCharType="end"/>
            </w:r>
          </w:hyperlink>
        </w:p>
        <w:p w14:paraId="5BF5DB33" w14:textId="62B470A8"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21" w:history="1">
            <w:r w:rsidRPr="00693454">
              <w:rPr>
                <w:rStyle w:val="Hyperlink"/>
                <w:rFonts w:ascii="Arial" w:hAnsi="Arial" w:cs="Arial"/>
                <w:b w:val="0"/>
                <w:bCs w:val="0"/>
                <w:noProof/>
                <w:sz w:val="24"/>
                <w:szCs w:val="24"/>
              </w:rPr>
              <w:t>DISCUSSION</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_Toc197072221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97</w:t>
            </w:r>
            <w:r w:rsidRPr="00693454">
              <w:rPr>
                <w:rFonts w:ascii="Arial" w:hAnsi="Arial" w:cs="Arial"/>
                <w:b w:val="0"/>
                <w:bCs w:val="0"/>
                <w:noProof/>
                <w:webHidden/>
                <w:sz w:val="24"/>
                <w:szCs w:val="24"/>
              </w:rPr>
              <w:fldChar w:fldCharType="end"/>
            </w:r>
          </w:hyperlink>
        </w:p>
        <w:p w14:paraId="01E72A4B" w14:textId="2ECBE205"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22" w:history="1">
            <w:r w:rsidRPr="00693454">
              <w:rPr>
                <w:rStyle w:val="Hyperlink"/>
                <w:rFonts w:ascii="Arial" w:hAnsi="Arial" w:cs="Arial"/>
                <w:b w:val="0"/>
                <w:bCs w:val="0"/>
                <w:noProof/>
                <w:sz w:val="24"/>
                <w:szCs w:val="24"/>
              </w:rPr>
              <w:t>CONCLUSION</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_Toc197072222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107</w:t>
            </w:r>
            <w:r w:rsidRPr="00693454">
              <w:rPr>
                <w:rFonts w:ascii="Arial" w:hAnsi="Arial" w:cs="Arial"/>
                <w:b w:val="0"/>
                <w:bCs w:val="0"/>
                <w:noProof/>
                <w:webHidden/>
                <w:sz w:val="24"/>
                <w:szCs w:val="24"/>
              </w:rPr>
              <w:fldChar w:fldCharType="end"/>
            </w:r>
          </w:hyperlink>
        </w:p>
        <w:p w14:paraId="1C4E2EE7" w14:textId="7BB787F3"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23" w:history="1">
            <w:r w:rsidRPr="00693454">
              <w:rPr>
                <w:rStyle w:val="Hyperlink"/>
                <w:rFonts w:ascii="Arial" w:hAnsi="Arial" w:cs="Arial"/>
                <w:b w:val="0"/>
                <w:bCs w:val="0"/>
                <w:noProof/>
                <w:sz w:val="24"/>
                <w:szCs w:val="24"/>
              </w:rPr>
              <w:t>REFERENCES</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_Toc197072223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122</w:t>
            </w:r>
            <w:r w:rsidRPr="00693454">
              <w:rPr>
                <w:rFonts w:ascii="Arial" w:hAnsi="Arial" w:cs="Arial"/>
                <w:b w:val="0"/>
                <w:bCs w:val="0"/>
                <w:noProof/>
                <w:webHidden/>
                <w:sz w:val="24"/>
                <w:szCs w:val="24"/>
              </w:rPr>
              <w:fldChar w:fldCharType="end"/>
            </w:r>
          </w:hyperlink>
        </w:p>
        <w:p w14:paraId="7E6A1B79" w14:textId="60221155" w:rsidR="00693454" w:rsidRPr="00693454" w:rsidRDefault="00693454">
          <w:pPr>
            <w:pStyle w:val="TOC2"/>
            <w:tabs>
              <w:tab w:val="right" w:leader="underscore" w:pos="10756"/>
            </w:tabs>
            <w:rPr>
              <w:rFonts w:ascii="Arial" w:eastAsiaTheme="minorEastAsia" w:hAnsi="Arial" w:cs="Arial"/>
              <w:b w:val="0"/>
              <w:bCs w:val="0"/>
              <w:noProof/>
              <w:kern w:val="2"/>
              <w:sz w:val="24"/>
              <w:szCs w:val="24"/>
              <w:lang w:eastAsia="en-GB" w:bidi="ta-IN"/>
              <w14:ligatures w14:val="standardContextual"/>
            </w:rPr>
          </w:pPr>
          <w:hyperlink w:anchor="_Toc197072224" w:history="1">
            <w:r w:rsidRPr="00693454">
              <w:rPr>
                <w:rStyle w:val="Hyperlink"/>
                <w:rFonts w:ascii="Arial" w:hAnsi="Arial" w:cs="Arial"/>
                <w:b w:val="0"/>
                <w:bCs w:val="0"/>
                <w:noProof/>
                <w:sz w:val="24"/>
                <w:szCs w:val="24"/>
              </w:rPr>
              <w:t>APPENDICES</w:t>
            </w:r>
            <w:r w:rsidRPr="00693454">
              <w:rPr>
                <w:rFonts w:ascii="Arial" w:hAnsi="Arial" w:cs="Arial"/>
                <w:b w:val="0"/>
                <w:bCs w:val="0"/>
                <w:noProof/>
                <w:webHidden/>
                <w:sz w:val="24"/>
                <w:szCs w:val="24"/>
              </w:rPr>
              <w:tab/>
            </w:r>
            <w:r w:rsidRPr="00693454">
              <w:rPr>
                <w:rFonts w:ascii="Arial" w:hAnsi="Arial" w:cs="Arial"/>
                <w:b w:val="0"/>
                <w:bCs w:val="0"/>
                <w:noProof/>
                <w:webHidden/>
                <w:sz w:val="24"/>
                <w:szCs w:val="24"/>
              </w:rPr>
              <w:fldChar w:fldCharType="begin"/>
            </w:r>
            <w:r w:rsidRPr="00693454">
              <w:rPr>
                <w:rFonts w:ascii="Arial" w:hAnsi="Arial" w:cs="Arial"/>
                <w:b w:val="0"/>
                <w:bCs w:val="0"/>
                <w:noProof/>
                <w:webHidden/>
                <w:sz w:val="24"/>
                <w:szCs w:val="24"/>
              </w:rPr>
              <w:instrText xml:space="preserve"> PAGEREF _Toc197072224 \h </w:instrText>
            </w:r>
            <w:r w:rsidRPr="00693454">
              <w:rPr>
                <w:rFonts w:ascii="Arial" w:hAnsi="Arial" w:cs="Arial"/>
                <w:b w:val="0"/>
                <w:bCs w:val="0"/>
                <w:noProof/>
                <w:webHidden/>
                <w:sz w:val="24"/>
                <w:szCs w:val="24"/>
              </w:rPr>
            </w:r>
            <w:r w:rsidRPr="00693454">
              <w:rPr>
                <w:rFonts w:ascii="Arial" w:hAnsi="Arial" w:cs="Arial"/>
                <w:b w:val="0"/>
                <w:bCs w:val="0"/>
                <w:noProof/>
                <w:webHidden/>
                <w:sz w:val="24"/>
                <w:szCs w:val="24"/>
              </w:rPr>
              <w:fldChar w:fldCharType="separate"/>
            </w:r>
            <w:r w:rsidRPr="00693454">
              <w:rPr>
                <w:rFonts w:ascii="Arial" w:hAnsi="Arial" w:cs="Arial"/>
                <w:b w:val="0"/>
                <w:bCs w:val="0"/>
                <w:noProof/>
                <w:webHidden/>
                <w:sz w:val="24"/>
                <w:szCs w:val="24"/>
              </w:rPr>
              <w:t>143</w:t>
            </w:r>
            <w:r w:rsidRPr="00693454">
              <w:rPr>
                <w:rFonts w:ascii="Arial" w:hAnsi="Arial" w:cs="Arial"/>
                <w:b w:val="0"/>
                <w:bCs w:val="0"/>
                <w:noProof/>
                <w:webHidden/>
                <w:sz w:val="24"/>
                <w:szCs w:val="24"/>
              </w:rPr>
              <w:fldChar w:fldCharType="end"/>
            </w:r>
          </w:hyperlink>
        </w:p>
        <w:p w14:paraId="7A0CA9E1" w14:textId="47ACF3B5" w:rsidR="00227727" w:rsidRPr="00227727" w:rsidRDefault="00227727" w:rsidP="00227727">
          <w:pPr>
            <w:spacing w:line="360" w:lineRule="auto"/>
            <w:rPr>
              <w:rFonts w:ascii="Arial" w:hAnsi="Arial" w:cs="Arial"/>
              <w:b/>
              <w:bCs/>
              <w:sz w:val="24"/>
              <w:szCs w:val="24"/>
            </w:rPr>
          </w:pPr>
          <w:r w:rsidRPr="00693454">
            <w:rPr>
              <w:rFonts w:ascii="Arial" w:hAnsi="Arial" w:cs="Arial"/>
              <w:b/>
              <w:bCs/>
              <w:sz w:val="24"/>
              <w:szCs w:val="24"/>
            </w:rPr>
            <w:fldChar w:fldCharType="end"/>
          </w:r>
        </w:p>
      </w:sdtContent>
    </w:sdt>
    <w:p w14:paraId="52DE0E7B" w14:textId="77777777" w:rsidR="00227727" w:rsidRPr="00227727" w:rsidRDefault="00227727" w:rsidP="00227727">
      <w:pPr>
        <w:pStyle w:val="TOC3"/>
        <w:tabs>
          <w:tab w:val="right" w:pos="8828"/>
        </w:tabs>
        <w:rPr>
          <w:rFonts w:ascii="Arial" w:hAnsi="Arial" w:cs="Arial"/>
          <w:b/>
          <w:bCs/>
          <w:noProof/>
          <w:sz w:val="24"/>
        </w:rPr>
      </w:pPr>
    </w:p>
    <w:p w14:paraId="2BDE542F" w14:textId="77777777" w:rsidR="00227727" w:rsidRPr="00227727" w:rsidRDefault="00227727" w:rsidP="00227727">
      <w:pPr>
        <w:rPr>
          <w:rFonts w:ascii="Arial" w:eastAsiaTheme="majorEastAsia" w:hAnsi="Arial" w:cs="Arial"/>
          <w:bCs/>
          <w:spacing w:val="20"/>
          <w:sz w:val="24"/>
          <w:szCs w:val="24"/>
        </w:rPr>
      </w:pPr>
    </w:p>
    <w:p w14:paraId="0B505E34" w14:textId="77777777" w:rsidR="00227727" w:rsidRPr="00227727" w:rsidRDefault="00227727" w:rsidP="00227727">
      <w:pPr>
        <w:rPr>
          <w:rFonts w:ascii="Arial" w:eastAsiaTheme="majorEastAsia" w:hAnsi="Arial" w:cs="Arial"/>
          <w:bCs/>
          <w:spacing w:val="20"/>
          <w:sz w:val="24"/>
          <w:szCs w:val="24"/>
        </w:rPr>
      </w:pPr>
      <w:r w:rsidRPr="00227727">
        <w:rPr>
          <w:rFonts w:ascii="Arial" w:hAnsi="Arial" w:cs="Arial"/>
          <w:sz w:val="24"/>
          <w:szCs w:val="24"/>
        </w:rPr>
        <w:br w:type="page"/>
      </w:r>
    </w:p>
    <w:p w14:paraId="253A9D2D" w14:textId="77777777" w:rsidR="00227727" w:rsidRPr="00227727" w:rsidRDefault="00227727" w:rsidP="00227727">
      <w:pPr>
        <w:pStyle w:val="Heading2"/>
        <w:rPr>
          <w:rFonts w:ascii="Arial" w:hAnsi="Arial" w:cs="Arial"/>
        </w:rPr>
      </w:pPr>
      <w:bookmarkStart w:id="3" w:name="_Toc197072216"/>
      <w:r w:rsidRPr="00227727">
        <w:rPr>
          <w:rFonts w:ascii="Arial" w:hAnsi="Arial" w:cs="Arial"/>
        </w:rPr>
        <w:lastRenderedPageBreak/>
        <w:t>INTRODUCTION</w:t>
      </w:r>
      <w:bookmarkEnd w:id="3"/>
    </w:p>
    <w:p w14:paraId="54AC883C"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This chapter begins the study by investigating the growing importance of smarter working practices, particularly within public sector organisations that traditionally operate under rigid bureaucratic structures. It describes how smarter working has emerged as an important organisational strategy, fuelled by technological advancements and a global shift towards flexible work arrangements. Despite the widespread adoption of smarter working in various industries, the chapter highlights a critical gap in understanding its specific effects on employee outcomes such as job performance, job satisfaction, job stress, and psychological wellbeing in the public sector. The chapter defines the research problem, formulates the core research questions, and explains why the study focuses on employee wellbeing as a mediator and HRM practices as moderators in smarter working-employee outcome relationships. It also discusses the theoretical and practical implications, positioning the study as a response to the growing demand for sustainable, employee-centric work models in public organisations. Finally, the chapter provides a brief overview of the research scope, objectives, and structure, laying the groundwork for a thorough investigation into the impact of smarter working practices in public sector settings.</w:t>
      </w:r>
    </w:p>
    <w:p w14:paraId="79F34B2C" w14:textId="77777777" w:rsidR="00227727" w:rsidRPr="00227727" w:rsidRDefault="00227727" w:rsidP="00227727">
      <w:pPr>
        <w:pStyle w:val="Heading3"/>
        <w:rPr>
          <w:rFonts w:ascii="Arial" w:hAnsi="Arial" w:cs="Arial"/>
          <w:sz w:val="26"/>
        </w:rPr>
      </w:pPr>
      <w:r w:rsidRPr="00227727">
        <w:rPr>
          <w:rFonts w:ascii="Arial" w:hAnsi="Arial" w:cs="Arial"/>
          <w:sz w:val="26"/>
        </w:rPr>
        <w:t>Research Background</w:t>
      </w:r>
    </w:p>
    <w:p w14:paraId="0597CDF9" w14:textId="557C0242"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The rise of smarter working and flexible arrangements has significantly impacted modern work practices. Smarter working refers to </w:t>
      </w:r>
      <w:r w:rsidR="00351EFC">
        <w:rPr>
          <w:rFonts w:ascii="Arial" w:hAnsi="Arial" w:cs="Arial"/>
          <w:sz w:val="24"/>
          <w:szCs w:val="24"/>
        </w:rPr>
        <w:t>practices</w:t>
      </w:r>
      <w:r w:rsidRPr="00227727">
        <w:rPr>
          <w:rFonts w:ascii="Arial" w:hAnsi="Arial" w:cs="Arial"/>
          <w:sz w:val="24"/>
          <w:szCs w:val="24"/>
        </w:rPr>
        <w:t xml:space="preserve"> that enable employees to work more flexibly in terms of time, location, and methods, aided by technology and organisational culture (Civil Service, 2020; Angelici &amp; Profeta, 2020). This approach aligns with broader trends towards workplace innovation and employee-</w:t>
      </w:r>
      <w:r w:rsidR="00351EFC">
        <w:rPr>
          <w:rFonts w:ascii="Arial" w:hAnsi="Arial" w:cs="Arial"/>
          <w:sz w:val="24"/>
          <w:szCs w:val="24"/>
        </w:rPr>
        <w:t>centric</w:t>
      </w:r>
      <w:r w:rsidRPr="00227727">
        <w:rPr>
          <w:rFonts w:ascii="Arial" w:hAnsi="Arial" w:cs="Arial"/>
          <w:sz w:val="24"/>
          <w:szCs w:val="24"/>
        </w:rPr>
        <w:t xml:space="preserve"> organisational models (Errichiello &amp; Pianese, 2019). During the COVID-19 pandemic, the rapid adoption of smarter working was more than just an operational adjustment; it was a critical response to ensure employee wellbeing and organisational continuity (AlMarar et al., 2021; Gharia, Narang, &amp; Karnik, 2020). According to Bucea-Manea-ǚoniş et al. (2021) and Gastaldi et al. (2014), smarter working is a strategic component of sustainable human resource management, emphasising resilience, innovation, and employee empowerment. This contextual shift lays the groundwork for investigating smarter working not as a temporary arrangement but as a strategic organisational practice with far-reaching implications for wellbeing and performance.</w:t>
      </w:r>
    </w:p>
    <w:p w14:paraId="2BC58E05"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The concept of smarter working practices, which includes smarter working, has long been linked to positive outcomes such as improved work-life balance, higher job satisfaction, and lower stress (Ayling &amp; McCartney, 2020; Chung &amp; van der Lippe, 2020). Flexible working arrangements, such as remote work, compressed hours, and job sharing, are increasingly seen as critical to employee engagement and organisational effectiveness (Austin-Egole, Iheriohanma, &amp; Nwokorie, 2020; De Ménezes &amp; Kelliher, 2011). However, as Anka, Thacker, and Penhale (2020) point out, these arrangements present challenges, particularly regarding safeguarding, social isolation, and organisational cohesion. The International Labour Organisation emphasises that flexibility must be balanced with proactive measures to protect workplace wellbeing. Similarly, Di Nicola (2017) and </w:t>
      </w:r>
      <w:r w:rsidRPr="00227727">
        <w:rPr>
          <w:rFonts w:ascii="Arial" w:hAnsi="Arial" w:cs="Arial"/>
          <w:sz w:val="24"/>
          <w:szCs w:val="24"/>
        </w:rPr>
        <w:lastRenderedPageBreak/>
        <w:t>Cheese (2020) observe that flexible working models necessitate strong organisational support systems, technological infrastructures, and leadership adaptations to achieve their intended benefits without exacerbating new stressors.</w:t>
      </w:r>
    </w:p>
    <w:p w14:paraId="54E61102"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Employee wellbeing has emerged as a key concern in the context of smarter working, rooted in workplace psychology and human resource management theories. Wellbeing is broadly defined as an individual's optimal functioning and experience in the workplace, including physical health, mental health, job satisfaction, and engagement (Guest, 2017; Andrews &amp; Withey, 2012). Bryson, Forth, and Stokes (2014, 2017) present empirical evidence that higher levels of employee subjective wellbeing are associated with better workplace performance outcomes. However, the relationship is not linear or automatic, with scholars such as Burns and Machin (2013) emphasising the importance of organisational climate and personality traits in moderating wellbeing outcomes. Furthermore, Charalampous et al. (2019) argue for a multidimensional understanding of remote and flexible work wellbeing, pointing out that autonomy and flexibility can empower and burden workers.</w:t>
      </w:r>
    </w:p>
    <w:p w14:paraId="1927669A"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The Job Demands-Resources (JD-R) model provides an important theoretical framework for understanding how smarter working affects wellbeing and productivity. According to Brauchli et al. (2013) and Häusser et al. (2010), the JD-R model states that job demands (e.g., workload, emotional strain) and job resources (e.g., autonomy, support) interact to predict employee wellbeing and organisational outcomes. Flexible and smarter working practices can change both demands and resources at the same time: they can reduce commuting time and increase autonomy (a resource) while also blurring work-life boundaries and intensifying workloads (a demand) (Chylinski &amp; Hu, 2018; Ratna &amp; Kaur, 2016). Research by Davidescu et al. (2020) and Bucea-Manea-ǚoniş et al. (2021) demonstrates that balancing demands and resources is critical. When resources outweigh demands, employee wellbeing and performance improve. However, when demands are excessive, burnout risks escalate. As a result, the JD-R model used in this study allows for a more nuanced examination of smarter working's dual potential to improve or undermine employee wellbeing.</w:t>
      </w:r>
    </w:p>
    <w:p w14:paraId="1797D280" w14:textId="3FCEB324"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Implementing smarter working practices is especially important in public sector contexts like Network Rail and Transport for London. The Civil Service (2020) guidelines and the work of El-Gamry and Heselwood (2018) demonstrate that public organisations are increasingly adopting flexible models to modernise operations and meet societal expectations. However, Bryson and White's (2021) research </w:t>
      </w:r>
      <w:r w:rsidR="00351EFC" w:rsidRPr="00227727">
        <w:rPr>
          <w:rFonts w:ascii="Arial" w:hAnsi="Arial" w:cs="Arial"/>
          <w:sz w:val="24"/>
          <w:szCs w:val="24"/>
        </w:rPr>
        <w:t>show</w:t>
      </w:r>
      <w:r w:rsidRPr="00227727">
        <w:rPr>
          <w:rFonts w:ascii="Arial" w:hAnsi="Arial" w:cs="Arial"/>
          <w:sz w:val="24"/>
          <w:szCs w:val="24"/>
        </w:rPr>
        <w:t xml:space="preserve"> that the public sector's adoption of high-performance work systems, such as smarter working, must contend with bureaucratic structures, regulatory constraints, and diverse employee needs. According to Lewis et al. (2017) and Lewis, Gambles, and Rapoport (2007), public sector workers frequently face tensions between professional expectations and personal wellbeing, making the success of smarter working heavily dependent on organisational support. Understanding smarter working in these environments requires paying close attention to contextual variables such as leadership practices, technological support, and employee voice mechanisms.</w:t>
      </w:r>
    </w:p>
    <w:p w14:paraId="367346F3"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The COVID-19 pandemic has accelerated the adoption of remote and hybrid working practices, fundamentally redefining work boundaries with significant implications for psychological health. Inman </w:t>
      </w:r>
      <w:r w:rsidRPr="00227727">
        <w:rPr>
          <w:rFonts w:ascii="Arial" w:hAnsi="Arial" w:cs="Arial"/>
          <w:sz w:val="24"/>
          <w:szCs w:val="24"/>
        </w:rPr>
        <w:lastRenderedPageBreak/>
        <w:t>(2020) and Gartner (2020) found significant increases in remote working, while Hampton (2017) and Hopkins and McKay (2019) highlighted the socio-technical challenges of maintaining employee engagement, collaboration, and innovation in dispersed work settings. Furthermore, Mostafa (2021) and Mangiavacchi, Piccoli, and Pieroni (2021) emphasise the pandemic's impact on work-life integration and gendered divisions of domestic labour, implying that smarter working must consider diverse personal and familial contexts. Furthermore, as discussed by Petrillo, De Felice, and Petrillo (2021), the digital divide and technological inequalities cast doubt on equitable access to the benefits of smarter working. These factors necessitate a comprehensive understanding of the impact of smarter working on employees' lives, which extends beyond the organisation's boundaries into broader societal domains.</w:t>
      </w:r>
    </w:p>
    <w:p w14:paraId="7F75B8EE"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Another important area of research is the relationship between job satisfaction, stress, and performance in smarter working environments. Research by Ölçer and Florescu (2015) and Ramos-Villagrasa et al. (2019) suggests that job satisfaction mediates the link between psychological empowerment and job performance, implying that autonomy and flexibility can enhance satisfaction when appropriately managed. In contrast, studies by Goh, Pfeffer, and Zenios (2015) and Holmgren, Hensing, and Dahlin-Ivanoff (2009) highlight the negative aspects of flexible work, such as technostress, role overload, and work intensification, which undermine psychological health and productivity. Gharia, Narang, and Karnik (2020) and Rainero and Modarelli (2020) also warn that smarter working may exacerbate disparities in employee experiences without supportive HRM practices. These findings highlight the importance of integrative models that account for both the positive and negative pathways by which smarter working affects employee outcomes.</w:t>
      </w:r>
    </w:p>
    <w:p w14:paraId="62448ECD"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The growing academic and practitioner interest in smarter working highlights its potential to reshape the future of work while also calling for critical scrutiny. According to Russell and Grant (2020) and Torre and Sarti (2019), smarter working is more than just a technological shift; it is also a profound organisational and cultural transformation. Researchers such as Dunleavy (2005) and Shirowzhan, Tan, and Sepasgozar (2020) observe that smarter working intersects with broader trends such as digital governance, smart cities, and sustainable management. However, Hackman and Oldham (1974) point out in the Job Characteristics Model that work redesign initiatives must carefully consider psychological needs such as autonomy, competence, and relatedness. This study aims to build on and extend these scholarly foundations by empirically testing how smarter working affects employee wellbeing, satisfaction, stress, and performance, using robust theoretical frameworks that are sensitive to the complexities of modern public-sector work environments.</w:t>
      </w:r>
    </w:p>
    <w:p w14:paraId="7B27308D"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Flexible working, new workplaces, and working practises reimagined. This is agile working. Or otherwise known as, </w:t>
      </w:r>
      <w:r w:rsidRPr="00227727">
        <w:rPr>
          <w:rFonts w:ascii="Arial" w:hAnsi="Arial" w:cs="Arial"/>
          <w:i/>
          <w:sz w:val="24"/>
          <w:szCs w:val="24"/>
        </w:rPr>
        <w:t>“smarter working”.</w:t>
      </w:r>
      <w:r w:rsidRPr="00227727">
        <w:rPr>
          <w:rFonts w:ascii="Arial" w:hAnsi="Arial" w:cs="Arial"/>
          <w:sz w:val="24"/>
          <w:szCs w:val="24"/>
        </w:rPr>
        <w:t xml:space="preserve"> Historically, workforce agility has been positioned as an employee benefit, part of an organisational employee value proposition, but it is now more commonly seen as a way for an organisation to meet its strategic business goals. There are different types of flexibilities offered to employees in the workplace. These may include Flexitime i.e. reduced hours, part-time, job-share i.e. sharing workload with another employee and work from home etc. Where, </w:t>
      </w:r>
      <w:r w:rsidRPr="00227727">
        <w:rPr>
          <w:rFonts w:ascii="Arial" w:hAnsi="Arial" w:cs="Arial"/>
          <w:sz w:val="24"/>
          <w:szCs w:val="24"/>
        </w:rPr>
        <w:lastRenderedPageBreak/>
        <w:t>flexitime offers compressed working hours to the employees, part-time and job share reduces the total working hours for each individual and working from home completely empowers the employee to work on his accord to achieve his daily or annual targets (Wheatley, 2017). Smarter working, on the other hand, offers a number of flexibilities to employees that includes through technology the freedom to choose their own workspace, the freedom to do their job roles their own way and to even maintain their own working timings, allowing them to be completely empowered and independent when carrying out their tasks. Thus, flexible working brews under smarter working conditions (Lake, 2016).</w:t>
      </w:r>
    </w:p>
    <w:p w14:paraId="297E8883"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For long, a positive and happy attitude towards the job role has been acknowledged as a competitive advantage. If the workers are happy, they are more inclined towards doing their best meanwhile aiding the organisation indirectly in achieving their objectives (Guest, 2002), thus reporting an improved job performance. Thus, an improved employee well-being leads towards an improved job performance (Salas-Vallina, et al. 2020). This has however come under scrutiny as increasingly more studies and employee satisfaction surveys reveal that workers wellbeing is adversely affected (Kakabadse et al., 2017). With time some disbenefits such as stress, isolation, increased workload, and sedentary lifestyle practices have shown to arise which often go unnoticed.</w:t>
      </w:r>
    </w:p>
    <w:p w14:paraId="7647C3A8" w14:textId="734033C2" w:rsidR="00227727" w:rsidRPr="00227727" w:rsidRDefault="00227727" w:rsidP="00227727">
      <w:pPr>
        <w:spacing w:after="0" w:line="360" w:lineRule="auto"/>
        <w:ind w:firstLine="720"/>
        <w:jc w:val="both"/>
        <w:rPr>
          <w:rFonts w:ascii="Arial" w:eastAsia="Calibri Light" w:hAnsi="Arial" w:cs="Arial"/>
          <w:sz w:val="24"/>
          <w:szCs w:val="24"/>
        </w:rPr>
      </w:pPr>
      <w:r w:rsidRPr="00227727">
        <w:rPr>
          <w:rFonts w:ascii="Arial" w:hAnsi="Arial" w:cs="Arial"/>
          <w:sz w:val="24"/>
          <w:szCs w:val="24"/>
        </w:rPr>
        <w:t xml:space="preserve">There appears to be shortage of academic backing surrounding the effects of agile working practises on wellbeing, productivity, and job satisfaction in the public sector. Compared to a large number of research conducted in the private sector, regardless of the mixed findings, research of flexible working in the public sector remains rare. The reason can be attributed towards a number of challenges that the public sector faces with the implementation of smarter working initiatives. Usually, their interface does not allow them to follow an effective resource management system that can hamper the entire process of empowering employees through smarter working. Meanwhile, organisations lack the ability to incorporate new information towards their own advantage. Even, some of their employees lack literacy for the same or get highly confused when operating within a highly efficient workspace (Scarlett &amp; Boyd, 2015). Therefore, without any effective implementation within the public sector, research on the same is also rarely found. Meanwhile, there is only limited literature that mentions how employee well-being may effectively mediate job design and performance, especially the relationship between smarter working being a completely new job design increasingly being adopted everywhere due to observed increase in productivity of employees. Despite increasing productivity, surveys and observations have yet not talked about </w:t>
      </w:r>
      <w:r w:rsidR="00351EFC" w:rsidRPr="00227727">
        <w:rPr>
          <w:rFonts w:ascii="Arial" w:hAnsi="Arial" w:cs="Arial"/>
          <w:sz w:val="24"/>
          <w:szCs w:val="24"/>
        </w:rPr>
        <w:t>it,</w:t>
      </w:r>
      <w:r w:rsidRPr="00227727">
        <w:rPr>
          <w:rFonts w:ascii="Arial" w:hAnsi="Arial" w:cs="Arial"/>
          <w:sz w:val="24"/>
          <w:szCs w:val="24"/>
        </w:rPr>
        <w:t xml:space="preserve"> and it may impact employee-well-being or even job performance in different settings and environment. In order to uncover this </w:t>
      </w:r>
      <w:r w:rsidRPr="00227727">
        <w:rPr>
          <w:rFonts w:ascii="Arial" w:hAnsi="Arial" w:cs="Arial"/>
          <w:i/>
          <w:sz w:val="24"/>
          <w:szCs w:val="24"/>
        </w:rPr>
        <w:t>“black box”</w:t>
      </w:r>
      <w:r w:rsidRPr="00227727">
        <w:rPr>
          <w:rFonts w:ascii="Arial" w:hAnsi="Arial" w:cs="Arial"/>
          <w:sz w:val="24"/>
          <w:szCs w:val="24"/>
        </w:rPr>
        <w:t xml:space="preserve">, Guest (2017) mentioned employee well-being being the gateway to it all. </w:t>
      </w:r>
    </w:p>
    <w:p w14:paraId="3A29FB78" w14:textId="77777777" w:rsidR="00227727" w:rsidRPr="00227727" w:rsidRDefault="00227727" w:rsidP="00227727">
      <w:pPr>
        <w:spacing w:line="360" w:lineRule="auto"/>
        <w:ind w:firstLine="720"/>
        <w:jc w:val="both"/>
        <w:rPr>
          <w:rFonts w:ascii="Arial" w:eastAsia="Calibri Light" w:hAnsi="Arial" w:cs="Arial"/>
          <w:sz w:val="24"/>
          <w:szCs w:val="24"/>
        </w:rPr>
      </w:pPr>
      <w:r w:rsidRPr="00227727">
        <w:rPr>
          <w:rFonts w:ascii="Arial" w:hAnsi="Arial" w:cs="Arial"/>
          <w:sz w:val="24"/>
          <w:szCs w:val="24"/>
        </w:rPr>
        <w:t xml:space="preserve">Undoubtedly, the characteristics of the public sector are unique. With depleting resources, harsher and more complex working environments, the findings of this research will serve as the foundation for future comparative studies with the private sector. Using attitudinal, performance and wellbeing factors, the research aims to establish the impact smarter working has on productivity, job satisfaction, stress, and other metrics. </w:t>
      </w:r>
      <w:r w:rsidRPr="00227727">
        <w:rPr>
          <w:rFonts w:ascii="Arial" w:hAnsi="Arial" w:cs="Arial"/>
          <w:sz w:val="24"/>
          <w:szCs w:val="24"/>
        </w:rPr>
        <w:tab/>
      </w:r>
    </w:p>
    <w:p w14:paraId="77A0F299" w14:textId="77777777" w:rsidR="00227727" w:rsidRPr="00227727" w:rsidRDefault="00227727" w:rsidP="00227727">
      <w:pPr>
        <w:pStyle w:val="Heading3"/>
        <w:rPr>
          <w:rFonts w:ascii="Arial" w:hAnsi="Arial" w:cs="Arial"/>
          <w:sz w:val="26"/>
        </w:rPr>
      </w:pPr>
      <w:r w:rsidRPr="00227727">
        <w:rPr>
          <w:rFonts w:ascii="Arial" w:hAnsi="Arial" w:cs="Arial"/>
          <w:sz w:val="26"/>
        </w:rPr>
        <w:lastRenderedPageBreak/>
        <w:t>Research Context</w:t>
      </w:r>
    </w:p>
    <w:p w14:paraId="7487C6C6"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The UK transport sector, particularly organisations like Network Rail and Transport for London (TfL), operates in an increasingly complex, dynamic, and demanding environment, requiring them to balance operational efficiency, user satisfaction, resilience, and sustainability. The COVID-19 pandemic highlighted vulnerabilities in transport infrastructures, prompting public-sector organisations to accelerate the transition to smarter, more adaptive systems (Chambers et al., 2020; Change et al., 2021). During the pandemic, Network Rail, which manages the UK's railway infrastructure, and TfL, which oversees London's integrated transport system, faced critical challenges such as fluctuating ridership, revenue instability, and increased public health demands (Bowe et al., 2021; Kelly et al., 2020). Their responses, which include flexible ticketing, expanded open data systems, and improved real-time service communications, represent a significant shift towards resilience and user-centred innovation (Stone &amp; Aravopoulou, 2017; Mogaji &amp; Erkan, 2018). Furthermore, Chambers et al. (2020) observe that crisis management in transport increasingly relies on digital adaptability, real-time data exploitation, and proactive health risk mitigation, all of which Network Rail and TfL have incorporated into their post-pandemic strategies. These transformations are not isolated but rather part of a systemic shift towards "smart working" and "resilient infrastructures," putting these organisations at the forefront of UK public service innovation.</w:t>
      </w:r>
    </w:p>
    <w:p w14:paraId="17E1890D"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Aside from pandemic-specific responses, Network Rail and TfL's operational changes are driven by a broader imperative to improve resilience. According to research, network resilience—the ability to absorb, recover from, and adapt to disruptive events—is now considered an essential performance metric, particularly for critical infrastructure organisations (Woodburn, 2019; Osman et al., 2019). Hillel et al. (2018) demonstrated that transport resilience entails dynamic route reconfigurations, real-time communication with passengers, and predictive analytics to anticipate service bottlenecks in densely populated urban areas such as London. Woodburn (2019) also emphasised that quick response to unplanned freight and passenger services disruptions can significantly reduce negative economic and social consequences. Network Rail and TfL's investments in predictive maintenance systems, simulation-based planning, and agile incident response units demonstrate their growing commitment to resilience-based operational models. Furthermore, Kelly et al.'s (2020) research on air quality improvements during the pandemic suggests that transport organisations have a unique opportunity to redesign services to be resilient to disruptions and environmentally sustainable, in line with the UK's Net Zero 2050 goals.</w:t>
      </w:r>
    </w:p>
    <w:p w14:paraId="42537996"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Transport accessibility and urban integration are closely related to resilience and have significant socioeconomic consequences. Dunning et al. (2019) discovered that improvements in public transport accessibility directly impact housing market values and urban regeneration, as seen along London's Elizabeth Line and Overground expansions. Zhang (2021) used the Node-Place-Design model to study London's metro system, demonstrating that for optimal urban benefits, station area development must take into account connectivity (node value), local context (place value), and spatial planning (design quality). Access to public transportation impacts equity, inclusion, and well-being </w:t>
      </w:r>
      <w:r w:rsidRPr="00227727">
        <w:rPr>
          <w:rFonts w:ascii="Arial" w:hAnsi="Arial" w:cs="Arial"/>
          <w:sz w:val="24"/>
          <w:szCs w:val="24"/>
        </w:rPr>
        <w:lastRenderedPageBreak/>
        <w:t>(Dunning et al., 2019; Hillel et al., 2018). For TfL, integrating multimodal access — through cycling infrastructure, pedestrian-friendly designs, and improved last-mile connectivity — represents a deliberate strategy to bridge socio-spatial inequalities. Network Rail's strategic programmes, such as Access for All, which aims to make railway stations accessible to people with disabilities, demonstrate the company's commitment to inclusive mobility. These developments reflect a paradigm shift in which transport providers see accessibility as a critical enabler of economic and social sustainability rather than a compliance requirement.</w:t>
      </w:r>
    </w:p>
    <w:p w14:paraId="176C3C5F"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Simultaneously, technological innovation and data-driven service improvements are transforming passenger experiences and operational strategies. Stone and Aravopoulou (2017) emphasised the transformative power of open data initiatives to improve user engagement and operational transparency, citing TfL's success in providing real-time service data to third-party developers. Mogaji and Erkan (2018) used sentiment analysis to demonstrate how social media feedback loops influence service improvement and strategic planning in the UK rail sector. Hillel et al. (2018) found that accurate and accessible data ecosystems are critical for managing modal choices and preserving system efficiencies. Wearable technology, real-time health monitoring, and the Internet of Things (IoT) are promising avenues for incorporating public health concerns into transportation design (Chambers et al., 2020; Bowe et al., 2019). Leveraging these technologies enables Network Rail and TfL, which have millions of daily users, to provide mobility services and a broader sense of trust, security, and personalised engagement. The next stage of this digital journey will see the continued advancement of smart ticketing, crowd management systems, and AI-powered maintenance alerts.</w:t>
      </w:r>
    </w:p>
    <w:p w14:paraId="2E54C9ED"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Another factor influencing the strategic context of Network Rail and TfL is growing environmental awareness and the subsequent push for sustainable transport solutions. Bowe et al. (2019) and Hystad et al. (2018) present compelling evidence for green public transport policies. TfL's initiatives, such as the Ultra Low Emission Zone (ULEZ) and Network Rail's sustainability frameworks, align with rising public demand for climate-responsible transport (Kelly et al., 2020; Osman et al., 2019). Furthermore, the pandemic provided a rare glimpse into the potential for cleaner urban air as car dependency decreased, resulting in increased investment in non-motorised modes of transportation and electric public vehicles (Dunning &amp; Nurse, 2020). Public demand for sustainable mobility is no longer a fringe issue but a major driver of service legitimacy and funding. The strategic alignment of Network Rail and TfL with the United Nations Sustainable Development Goals (SDGs) and the UK Government's Decarbonising Transport Plan reinforces the sector's shift towards an integrated mobility model that prioritises environmental stewardship alongside efficiency and affordability.</w:t>
      </w:r>
    </w:p>
    <w:p w14:paraId="05D35288"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 xml:space="preserve">An overarching research insight reveals that the success of transport systems is increasingly dependent on cross-sectoral collaboration, systemic innovation, and an unwavering commitment to user-centred design. COVID-19, climate change, and socioeconomic inequality demonstrate ineffective traditional, siloed management practices (Change et al., 2021; Osman et al., 2020). Instead, research indicates the importance of agile governance structures, integrated data ecosystems, and </w:t>
      </w:r>
      <w:r w:rsidRPr="00227727">
        <w:rPr>
          <w:rFonts w:ascii="Arial" w:hAnsi="Arial" w:cs="Arial"/>
          <w:sz w:val="24"/>
          <w:szCs w:val="24"/>
        </w:rPr>
        <w:lastRenderedPageBreak/>
        <w:t>inclusive planning frameworks (Stone &amp; Aravopoulou, 2017; Zhang, 2021). Network Rail and TfL rely heavily on strategic partnerships with technology providers, health agencies, local governments, and community organisations to navigate future uncertainties. Learning from the data-driven and resilient approaches documented in the reviewed studies, both organisations are well-positioned to advocate for holistic mobility models that are resilient, sustainable, inclusive, and deeply attuned to individuals' needs in a rapidly changing world. Such models meet immediate operational needs and significantly contribute to long-term urban prosperity, public health, and environmental sustainability.</w:t>
      </w:r>
    </w:p>
    <w:p w14:paraId="1711DF2F" w14:textId="77777777" w:rsidR="00227727" w:rsidRPr="00227727" w:rsidRDefault="00227727" w:rsidP="00227727">
      <w:pPr>
        <w:pStyle w:val="Heading3"/>
        <w:rPr>
          <w:rFonts w:ascii="Arial" w:hAnsi="Arial" w:cs="Arial"/>
          <w:sz w:val="26"/>
        </w:rPr>
      </w:pPr>
      <w:r w:rsidRPr="00227727">
        <w:rPr>
          <w:rFonts w:ascii="Arial" w:hAnsi="Arial" w:cs="Arial"/>
          <w:sz w:val="26"/>
        </w:rPr>
        <w:t>Research Problem</w:t>
      </w:r>
    </w:p>
    <w:p w14:paraId="23ABD542"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Network Rail and Transport for London (TfL) have faced unprecedented challenges adapting to rapidly changing socioeconomic conditions, technological innovations, and environmental demands. Network Rail and Transport for London (TfL) have historically operated under rigid bureaucratic structures, making transitioning to agile, smarter working practices difficult and challenging (Stone &amp; Aravopoulou, 2017; Mogaji &amp; Erkan, 2018). The COVID-19 pandemic has increased the demand for flexibility, resilience, and employee-centric approaches, but adapting legacy systems, processes, and mindsets has proven difficult (Chambers et al., 2020; Change et al., 2021). Within this context, understanding how smarter working practices affect employee outcomes becomes critical, particularly job performance, which remains the primary metric of organisational efficiency and service delivery (Woodburn, 2019; Osman et al., 2020). Public sector performance imperatives are more than just economic; they also include public trust, safety, and wellbeing—hence the need to investigate how smarter working interventions translate into tangible job performance improvements (Dunning &amp; Nurse, 2020). As a result, this study's first research question (RQ1) seeks to systematically evaluate the impact of smarter working practices on employee job performance in public sector organisations, thereby filling a critical knowledge gap in contemporary transport management literature.</w:t>
      </w:r>
    </w:p>
    <w:p w14:paraId="12210DE3"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The second pressing issue concerns the dual effects of smarter work on employees' psychological states, specifically job satisfaction and job stress. Although flexible and remote working arrangements were widely adopted during the pandemic, evidence suggests their psychological effects are complex and contradictory (Kelly et al., 2020; Bowe et al., 2021). While increased autonomy and flexibility frequently improve job satisfaction (Dunning et al., 2019; Stone &amp; Aravopoulou, 2017), they can also exacerbate job stress through work-life boundary blurring, digital surveillance, and social isolation (Gharia et al., 2020; Mogaji &amp; Erkan, 2018). Despite smarter working technologies, research on transport workers during COVID-19 shows increased anxiety, role overload, and reduced work-life integration (Chambers et al., 2020; Osman et al., 2019). These tensions raise serious concerns for public sector employers, who are required to meet service targets and protect employee welfare (Bryson &amp; White, 2021). The second research question (RQ2) investigates the complex relationship between smarter working practices and employee job satisfaction and stress to provide nuanced insights into the psychological costs and benefits of public sector digital transformations.</w:t>
      </w:r>
    </w:p>
    <w:p w14:paraId="191E66D4"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lastRenderedPageBreak/>
        <w:t>A new level of complexity emerges when considering employee wellbeing as a mediator between smarter working and job performance. According to recent research in the transport sector, wellbeing is a strategic driver of organisational resilience and productivity (Bryson et al., 2017; Charalampous et al., 2019). Empirical studies show that employees with higher levels of wellbeing are more engaged, creative, and willing to go above and beyond, which fuels service quality and operational robustness. However, in public sector contexts, where procedural constraints, political oversight, and public accountability increase work demands, maintaining high levels of wellbeing through smarter working practices remains difficult (Kelly et al., 2020; Stone &amp; Aravopoulou, 2017). Without empirical evidence on how wellbeing mediates the smarter working-performance relationship, policy interventions may be misaligned or superficial. Thus, the third research question (RQ3) fills a critical theoretical and practical gap by investigating whether and how employee wellbeing mediates the relationship between smarter working practices and job performance, particularly within public sector transport organisations such as Network Rail and TfL.</w:t>
      </w:r>
    </w:p>
    <w:p w14:paraId="3E5B90AF"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Furthermore, human resource management (HRM) practices emerge as a key moderator in shaping employee perceptions of smarter working environments. Prior research has shown that the success of flexible or smart working schemes heavily depends on complementary HRM policies such as supportive leadership, fair performance management, and employee development programs (De Menezes &amp; Kelliher, 2011; Hauff et al., 2014). Employees with inconsistent or poorly integrated HRM systems reported dissatisfaction, marginalisation, and increased stress due to remote working initiatives (Dunning &amp; Nurse, 2020; Osman et al., 2019). Bureaucratic rigidity and slower adoption cycles in the public sector exacerbate these risks (Hopkins &amp; McKay, 2019; Chambers et al., 2020). Given that smarter working practices alone are insufficient to ensure psychological wellbeing in the absence of supportive HRM frameworks, the fourth research question (RQ4) aims to investigate the moderating role of HRM practices in the relationship between smarter working and psychological wellbeing. This research is critical for developing evidence-based HRM strategies that maximise the benefits of smarter working while reducing potential risks in the public sector.</w:t>
      </w:r>
    </w:p>
    <w:p w14:paraId="59CA4FDB"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Furthermore, addressing these research questions within the specific context of Network Rail and TfL enables the study to contribute practical, contextualised insights to a field frequently dominated by private sector case studies (Dunning et al., 2019; Osman et al., 2020). Transport organisations face unique constraints, such as fixed asset dependencies, public safety obligations, and political scrutiny, which influence how employees perceive and experience smarter working practices (Woodburn, 2019; Chambers et al., 2020). By situating this investigation within the lived realities of two of the UK's most significant transport entities, the study provides detailed insights into implementing flexible working, wellbeing initiatives, and HRM strategies in the face of systemic complexity. Furthermore, it addresses broader policy imperatives, such as the UK government's vision for smarter public services and resilient urban infrastructure, demonstrating the practical relevance beyond the immediate organisational contexts (FT, 2018; Dunning &amp; Nurse, 2020).</w:t>
      </w:r>
    </w:p>
    <w:p w14:paraId="41666CEF"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lastRenderedPageBreak/>
        <w:t>Thus, the convergence of smarter working imperatives, evolving psychological dynamics, and the critical role of HRM practices have resulted in a rich, urgent, and underexplored problem space. Public sector organisations, such as Network Rail and TfL, are at the forefront of this transformation, in which employee experiences and organisational effectiveness are inextricably linked. Despite significant scholarly interest in flexible working and employee wellbeing (Bryson et al., 2017; Charalampous et al., 2019), significant gaps remain in understanding how these dynamics play out in large, operationally complex, and publicly accountable organisations. By addressing these research questions, this study advances theoretical models such as the Job Demands-Resources (JD-R) model and Self-Determination Theory while providing critical applied insights to public sector managers dealing with the realities of smarter working transitions.</w:t>
      </w:r>
    </w:p>
    <w:p w14:paraId="116DE7A4" w14:textId="77777777" w:rsidR="00227727" w:rsidRPr="00227727" w:rsidRDefault="00227727" w:rsidP="00227727">
      <w:pPr>
        <w:pStyle w:val="Heading3"/>
        <w:spacing w:after="0" w:line="360" w:lineRule="auto"/>
        <w:rPr>
          <w:rFonts w:ascii="Arial" w:hAnsi="Arial" w:cs="Arial"/>
          <w:sz w:val="26"/>
        </w:rPr>
      </w:pPr>
      <w:r w:rsidRPr="00227727">
        <w:rPr>
          <w:rFonts w:ascii="Arial" w:hAnsi="Arial" w:cs="Arial"/>
          <w:sz w:val="26"/>
        </w:rPr>
        <w:t>Research Gaps</w:t>
      </w:r>
    </w:p>
    <w:p w14:paraId="405C37C0"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Smarter working practices have received much attention in various organisational settings; however, the specific impact of smarter working on employees' job performance in public sector organisations is still poorly understood. Studies by Davidescu et al. (2020) and Girish et al. (2022) show that flexible work arrangements can improve job performance; however, these findings are primarily based on private sector samples, raising concerns about their applicability to public administration contexts. Oosthuizen (2019) emphasises that using smart technology can improve work outcomes, but he does not address public sector dynamics, where rigid hierarchical structures, regulatory constraints, and bureaucratic processes may mediate these effects differently. Even Di Tecco et al. (2021) and Bonacci et al. (2024), who study smart working in public administration, focus on procedural and technological implementations rather than directly linking smarter working to performance metrics. Decastri et al. (2019) and Hur et al. (2019) also emphasise the bureaucratic inertia that impedes digital transformation efforts, implying that public sector environments may react differently to smarter working initiatives than the private sector. Despite insights from studies such as Angelici and Profeta (2024) on the potential benefits of unrestricted flexibility, empirical research directly testing how smarter working translates into tangible performance improvements among public sector employees is limited. As a result, a critical research gap exists in determining whether smarter working truly improves job performance in public organisations, where formalised work processes and accountability standards may significantly shape employee behaviours and outcomes in ways that differ from the private sector.</w:t>
      </w:r>
    </w:p>
    <w:p w14:paraId="2CD38AEE"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Although the relationship between smarter working, job satisfaction, and job stress has been extensively studied, the findings have primarily focused on general or private sector contexts, leaving a significant gap for public sector employees. Falco et al. (2023) and Martin et al. (2022) provide valuable longitudinal evidence linking smart working to better wellbeing and stress reduction; however, their samples largely exclude public organisations, which operate under different cultural and structural conditions. Research by Kosec et al. (2022) and Barbieri et al. (2021) highlights the potential for smarter working to improve job and life satisfaction, but it frequently overlooks the stressors that public sector employees face, such as high administrative burden and stakeholder scrutiny. Galanti et al. (2021) and </w:t>
      </w:r>
      <w:r w:rsidRPr="00227727">
        <w:rPr>
          <w:rFonts w:ascii="Arial" w:hAnsi="Arial" w:cs="Arial"/>
          <w:sz w:val="24"/>
          <w:szCs w:val="24"/>
        </w:rPr>
        <w:lastRenderedPageBreak/>
        <w:t>Toscano and Zappalà (2020) argue that remote work can both reduce and increase stress, depending on social isolation and workload dynamics, but they make no distinction between public and private sector experiences. Similarly, Saridakis et al. (2023) discuss how working from home during the COVID-19 pandemic affected productivity and wellbeing but do not address public service institutions' unique psychological and organisational climates. While the broader literature recognises a complex relationship between smarter working, satisfaction, and stress, it is urgent to address how these outcomes manifest among public sector employees, who may face additional challenges and pressures that distort the effects of smarter working practices.</w:t>
      </w:r>
    </w:p>
    <w:p w14:paraId="4A859F8E"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Employee wellbeing is increasingly recognised as a critical factor influencing job outcomes; however, its role as a mediator between smarter working and job performance is understudied, particularly in the context of public sector organisations. De Carlo et al. (2022) show that smart working environments can contribute to employee burnout if not correctly managed, implying that wellbeing is critical in determining the success of smarter working initiatives. Bharathi and Sujatha (2024) emphasise the importance of perceived organisational support in improving employee wellbeing but do not formalise it as a mediator between smarter working and performance. Mira et al. (2019) find a link between HRM practices and job satisfaction, implying that psychological states mediate performance outcomes without explicitly testing mediation pathways. Yan et al. (2020) also emphasise the role of psychological wellbeing in predicting employee performance, lending credence to the idea that wellbeing is an important intermediate variable. Meanwhile, Fedorova et al. (2019) and Wang et al. (2023) suggest that digital HRM practices can impact employee wellbeing but do not investigate the sequential effects that lead to performance. Given these gaps, it is clear that the mediating role of employee wellbeing in smarter working and job performance requires further empirical investigation, particularly in public sector settings where complex role expectations, administrative demands, and limited resources may influence wellbeing.</w:t>
      </w:r>
    </w:p>
    <w:p w14:paraId="0346F54A"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Despite a large body of research linking HRM practices to employee outcomes, little scholarly attention has been paid to the specific moderating role of HRM practices in the relationship between smarter working and psychological wellbeing. While Mira et al. (2019) and Manuti et al. (2020) identify HRM practices as significant predictors of employee satisfaction and wellbeing, few studies explicitly test whether HRM practices enhance or diminish the effects of smarter working on employee psychological outcomes. Shamaileh et al. (2023) argue that smart HR 4.0 initiatives improve job effectiveness by increasing satisfaction, implying a potential moderating effect, but empirical testing of this interaction is lacking. Similarly, Parker and Knight (2024) argue that well-designed jobs improve employee wellbeing but do not investigate how HRM practices may buffer or amplify the effects of smarter working conditions. Junianti and Rony (2023) and Singh et al. (2019) emphasise the importance of sustainability-oriented HRM and leadership agility in promoting wellbeing, but neither study examines the effects of moderation. Ferrara et al. (2022) and Marino and Capone (2021) show that organisational interventions can influence wellbeing outcomes but do not include HRM practices as a moderating construct. As a result, future research must address this critical gap by explicitly testing </w:t>
      </w:r>
      <w:r w:rsidRPr="00227727">
        <w:rPr>
          <w:rFonts w:ascii="Arial" w:hAnsi="Arial" w:cs="Arial"/>
          <w:sz w:val="24"/>
          <w:szCs w:val="24"/>
        </w:rPr>
        <w:lastRenderedPageBreak/>
        <w:t>how supportive HRM environments may moderate the relationship between smarter working practices and employee psychological wellbeing, particularly in the highly structured and regulated environment of public sector organisations.</w:t>
      </w:r>
    </w:p>
    <w:p w14:paraId="543CBE2C"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Another significant research gap is the lack of consistency in measurement and methodological approaches across the existing body of smarter working research, complicating findings synthesis and limiting theoretical advancement. Edwardson et al. (2018) conceptualise smarter working interventions primarily through the lens of physical activity reduction, without incorporating broader psychological wellbeing measures, implying a limited operationalisation. Studies such as Galanti et al. (2021) and Mondo et al. (2023) use different definitions of wellbeing, ranging from stress levels to job engagement, resulting in disparities in understanding the true impact of smarter working practices. Barbieri et al. (2024) and Todisco et al. (2023) provide valuable insights but use cross-sectional designs, which are inherently limited in determining causality. Furthermore, Toscano and Zappalà (2020) measure perceived productivity rather than actual job performance outcomes, which complicates interpretations. As a result, there is a significant need for future research to use standardised, validated measurement instruments and robust longitudinal or experimental designs that can more accurately capture the causal pathways between smarter working, wellbeing, stress, satisfaction, and performance in public sector organisations, thereby increasing the reliability and generalisability of research findings.</w:t>
      </w:r>
    </w:p>
    <w:p w14:paraId="395870DC"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Another research gap in the smarter working literature is the failure to account for sectoral differences, with most existing research heavily skewed towards the private sector or mixed samples. De Carlo et al. (2022) and Hur et al. (2019) recognise that public sector environments present unique challenges, such as bureaucratic resistance, slow policy shifts, and entrenched cultural norms, which may significantly impact how smarter working practices are adopted and perceived. Although Bonacci et al. (2024) and Barbieri et al. (2024) have made progress in understanding smarter working satisfaction in public organisations, their focus is still relatively narrow, frequently overlooking broader performance, stress, and wellbeing outcomes. Decastri et al. (2019) describe digital ecosystem explorations within government institutions, but comparative analyses across sectors are uncommon. As a result, important questions remain unanswered, such as whether smarter working initiatives produce similar, diminished, or enhanced benefits in public sector contexts versus private ones. Therefore, Future research must prioritise sector-specific investigations to elucidate how public administration's distinct organisational cultures, stakeholder expectations, and regulatory frameworks shape the effects of smarter working practices.</w:t>
      </w:r>
    </w:p>
    <w:p w14:paraId="10EE6E5C"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The long-term effects of smarter working are largely unknown, with most available studies focussing on short-term or pandemic-induced adaptations rather than sustained, post-pandemic organisational transformations. Falco et al. (2023) and De Carlo et al. (2022) provide some longitudinal evidence, but the timeframes studied are frequently limited to one or two years, which may not capture the long-term effects of smarter working practices. Angelici and Profeta (2024) argue that work flexibility can be beneficial without constraints; however, it is unclear whether such benefits last over time or whether factors such as cumulative techno-stress, social isolation, or organisational fatigue erode initial </w:t>
      </w:r>
      <w:r w:rsidRPr="00227727">
        <w:rPr>
          <w:rFonts w:ascii="Arial" w:hAnsi="Arial" w:cs="Arial"/>
          <w:sz w:val="24"/>
          <w:szCs w:val="24"/>
        </w:rPr>
        <w:lastRenderedPageBreak/>
        <w:t>gains. Marino and Capone (2021) and Mondo et al. (2023) suggest that positive effects may not be sustained, but empirical evidence is limited. Furthermore, current studies, such as Ferrara et al. (2022), frequently lack baseline pre-pandemic data, making distinguishing between temporary adaptations and true transformations difficult. As a result, future studies should be longitudinal, spanning multiple years, to determine whether smarter working continues to promote performance, wellbeing, and satisfaction or if unintended negative outcomes emerge over time, particularly in the public sector, where change processes are frequently slower and more complex.</w:t>
      </w:r>
    </w:p>
    <w:p w14:paraId="260C6902"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A clear gap exists in integrating multiple theoretical perspectives when researching smarter working, wellbeing, and employee performance. Most studies, including De Carlo et al. (2022) and Toscano and Zappalà (2020), rely on single theoretical models such as the Job Demands-Resources framework or work-life balance theories, limiting their findings' explanatory power. Parker and Knight (2024) advocate for a broader SMART work design model, but comprehensive theoretical integration is uncommon. Wang et al. (2023) and Ferrara et al. (2022) acknowledge the importance of multifactorial approaches but frequently use fragmented models. Given the complexities of smarter working and its multi-level effects—spanning psychological, organisational, and technological domains—future research should aim to combine multiple theoretical frameworks, such as SMART work design, sustainable HRM, psychological wellbeing models, and digital transformation theories, to develop a more holistic and nuanced understanding of how smarter working practices influence employee outcomes over time. This is especially important in the public sector, where the combination of institutional norms, employee resilience, and technological adaptation complicates the effects of smarter working initiatives.</w:t>
      </w:r>
    </w:p>
    <w:p w14:paraId="4525444C" w14:textId="77777777" w:rsidR="00227727" w:rsidRPr="00227727" w:rsidRDefault="00227727" w:rsidP="00227727">
      <w:pPr>
        <w:pStyle w:val="Heading3"/>
        <w:rPr>
          <w:rFonts w:ascii="Arial" w:hAnsi="Arial" w:cs="Arial"/>
          <w:sz w:val="26"/>
        </w:rPr>
      </w:pPr>
      <w:r w:rsidRPr="00227727">
        <w:rPr>
          <w:rFonts w:ascii="Arial" w:hAnsi="Arial" w:cs="Arial"/>
          <w:sz w:val="26"/>
        </w:rPr>
        <w:t>Research Questions</w:t>
      </w:r>
    </w:p>
    <w:p w14:paraId="41B9F7E4"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The study, therefore, aims to draw a link between smarter working practises and job performance of employees and explores </w:t>
      </w:r>
      <w:r w:rsidRPr="00227727">
        <w:rPr>
          <w:rFonts w:ascii="Arial" w:eastAsia="Calibri Light" w:hAnsi="Arial" w:cs="Arial"/>
          <w:sz w:val="24"/>
          <w:szCs w:val="24"/>
        </w:rPr>
        <w:t>concerns about work-life issues and health outcomes because of smarter working practises.</w:t>
      </w:r>
      <w:r w:rsidRPr="00227727">
        <w:rPr>
          <w:rFonts w:ascii="Arial" w:hAnsi="Arial" w:cs="Arial"/>
          <w:sz w:val="24"/>
          <w:szCs w:val="24"/>
        </w:rPr>
        <w:t xml:space="preserve"> The need to respond to changing social environments is overwhelming (Dunleavy, 2005) and many organisations are accepting the benefits of smarter working: improved productivity, increased efficiency and mostly a happier workforce allowing them to innovate, become successful, robust, and more adaptable (FT, 2018).  </w:t>
      </w:r>
      <w:r w:rsidRPr="00227727">
        <w:rPr>
          <w:rFonts w:ascii="Arial" w:eastAsia="Calibri Light" w:hAnsi="Arial" w:cs="Arial"/>
          <w:sz w:val="24"/>
          <w:szCs w:val="24"/>
        </w:rPr>
        <w:t xml:space="preserve">In fact, the strength of the remote-working economy has helped to bolster the UK through a tumultuous and unstable period. It’s clear that the working economy is in a period of flux as more people migrate to modes of working that offer them a better work-life balance and a schedule that fits around their own schedule (HighSpeed Office, 2020) while organisations are under financial pressure to reduce their overheads. </w:t>
      </w:r>
      <w:r w:rsidRPr="00227727">
        <w:rPr>
          <w:rFonts w:ascii="Arial" w:hAnsi="Arial" w:cs="Arial"/>
          <w:sz w:val="24"/>
          <w:szCs w:val="24"/>
        </w:rPr>
        <w:t>The recent pandemic of Coronavirus in the UK has pushed the workplace quickly towards a smarter, remote working life and forced organisation to provide employees with options of working remotely, however, the public sector has been most unprepared. Data shows that the implementation of agile practises in the years leading up to Covid-19 was significantly lower than in the private sector (</w:t>
      </w:r>
      <w:r w:rsidRPr="00227727">
        <w:rPr>
          <w:rFonts w:ascii="Arial" w:hAnsi="Arial" w:cs="Arial"/>
          <w:sz w:val="24"/>
          <w:szCs w:val="24"/>
          <w:shd w:val="clear" w:color="auto" w:fill="FFFFFF"/>
        </w:rPr>
        <w:t>Radjou and Prabhu, 2015</w:t>
      </w:r>
      <w:r w:rsidRPr="00227727">
        <w:rPr>
          <w:rFonts w:ascii="Arial" w:hAnsi="Arial" w:cs="Arial"/>
          <w:sz w:val="24"/>
          <w:szCs w:val="24"/>
        </w:rPr>
        <w:t xml:space="preserve">). At present, remote working is at an all-times-high and has become the norm. A recent Garner poll showed 88% of </w:t>
      </w:r>
      <w:r w:rsidRPr="00227727">
        <w:rPr>
          <w:rFonts w:ascii="Arial" w:hAnsi="Arial" w:cs="Arial"/>
          <w:sz w:val="24"/>
          <w:szCs w:val="24"/>
        </w:rPr>
        <w:lastRenderedPageBreak/>
        <w:t xml:space="preserve">organisations were encouraging employees to work from home during the pandemic (Gartner, 2020). Despite </w:t>
      </w:r>
      <w:r w:rsidRPr="00227727">
        <w:rPr>
          <w:rFonts w:ascii="Arial" w:eastAsia="Calibri Light" w:hAnsi="Arial" w:cs="Arial"/>
          <w:sz w:val="24"/>
          <w:szCs w:val="24"/>
        </w:rPr>
        <w:t>staff returning from the government backed furlough scheme, employers have proved unwilling to open their workplaces and preferred to keep staff at home (Inman, 2020). It is, therefore, essential to establish the extent to which flexible working would impact on wellbeing, if any, and eventually affect performance. Therefore, this research offers research questions:</w:t>
      </w:r>
    </w:p>
    <w:p w14:paraId="1667CF54" w14:textId="77777777" w:rsidR="00227727" w:rsidRPr="00227727" w:rsidRDefault="00227727" w:rsidP="00227727">
      <w:pPr>
        <w:spacing w:before="100" w:beforeAutospacing="1" w:after="100" w:afterAutospacing="1" w:line="360" w:lineRule="auto"/>
        <w:jc w:val="both"/>
        <w:rPr>
          <w:rFonts w:ascii="Arial" w:eastAsia="Times New Roman" w:hAnsi="Arial" w:cs="Arial"/>
          <w:sz w:val="24"/>
          <w:szCs w:val="24"/>
        </w:rPr>
      </w:pPr>
      <w:r w:rsidRPr="00227727">
        <w:rPr>
          <w:rFonts w:ascii="Arial" w:eastAsia="Times New Roman" w:hAnsi="Arial" w:cs="Arial"/>
          <w:b/>
          <w:bCs/>
          <w:sz w:val="24"/>
          <w:szCs w:val="24"/>
        </w:rPr>
        <w:t>RQ1:</w:t>
      </w:r>
      <w:r w:rsidRPr="00227727">
        <w:rPr>
          <w:rFonts w:ascii="Arial" w:eastAsia="Times New Roman" w:hAnsi="Arial" w:cs="Arial"/>
          <w:sz w:val="24"/>
          <w:szCs w:val="24"/>
        </w:rPr>
        <w:t xml:space="preserve"> How does smarter working influence employees' job performance within public sector organisations?</w:t>
      </w:r>
    </w:p>
    <w:p w14:paraId="278999C4" w14:textId="77777777" w:rsidR="00227727" w:rsidRPr="00227727" w:rsidRDefault="00227727" w:rsidP="00227727">
      <w:pPr>
        <w:spacing w:before="100" w:beforeAutospacing="1" w:after="100" w:afterAutospacing="1" w:line="360" w:lineRule="auto"/>
        <w:jc w:val="both"/>
        <w:rPr>
          <w:rFonts w:ascii="Arial" w:eastAsia="Times New Roman" w:hAnsi="Arial" w:cs="Arial"/>
          <w:sz w:val="24"/>
          <w:szCs w:val="24"/>
        </w:rPr>
      </w:pPr>
      <w:r w:rsidRPr="00227727">
        <w:rPr>
          <w:rFonts w:ascii="Arial" w:eastAsia="Times New Roman" w:hAnsi="Arial" w:cs="Arial"/>
          <w:b/>
          <w:bCs/>
          <w:sz w:val="24"/>
          <w:szCs w:val="24"/>
        </w:rPr>
        <w:t>RQ2:</w:t>
      </w:r>
      <w:r w:rsidRPr="00227727">
        <w:rPr>
          <w:rFonts w:ascii="Arial" w:eastAsia="Times New Roman" w:hAnsi="Arial" w:cs="Arial"/>
          <w:sz w:val="24"/>
          <w:szCs w:val="24"/>
        </w:rPr>
        <w:t xml:space="preserve"> What are the effects of smarter working practices on employees' job satisfaction and job stress?</w:t>
      </w:r>
    </w:p>
    <w:p w14:paraId="64DCBC48" w14:textId="77777777" w:rsidR="00227727" w:rsidRPr="00227727" w:rsidRDefault="00227727" w:rsidP="00227727">
      <w:pPr>
        <w:spacing w:before="100" w:beforeAutospacing="1" w:after="100" w:afterAutospacing="1" w:line="360" w:lineRule="auto"/>
        <w:jc w:val="both"/>
        <w:rPr>
          <w:rFonts w:ascii="Arial" w:eastAsia="Times New Roman" w:hAnsi="Arial" w:cs="Arial"/>
          <w:sz w:val="24"/>
          <w:szCs w:val="24"/>
        </w:rPr>
      </w:pPr>
      <w:r w:rsidRPr="00227727">
        <w:rPr>
          <w:rFonts w:ascii="Arial" w:eastAsia="Times New Roman" w:hAnsi="Arial" w:cs="Arial"/>
          <w:b/>
          <w:bCs/>
          <w:sz w:val="24"/>
          <w:szCs w:val="24"/>
        </w:rPr>
        <w:t>RQ3:</w:t>
      </w:r>
      <w:r w:rsidRPr="00227727">
        <w:rPr>
          <w:rFonts w:ascii="Arial" w:eastAsia="Times New Roman" w:hAnsi="Arial" w:cs="Arial"/>
          <w:sz w:val="24"/>
          <w:szCs w:val="24"/>
        </w:rPr>
        <w:t xml:space="preserve"> How does employee wellbeing mediate the relationship between smarter working and job performance?</w:t>
      </w:r>
    </w:p>
    <w:p w14:paraId="03300C52" w14:textId="77777777" w:rsidR="00227727" w:rsidRPr="00227727" w:rsidRDefault="00227727" w:rsidP="00227727">
      <w:pPr>
        <w:spacing w:before="100" w:beforeAutospacing="1" w:after="100" w:afterAutospacing="1" w:line="360" w:lineRule="auto"/>
        <w:jc w:val="both"/>
        <w:rPr>
          <w:rFonts w:ascii="Arial" w:eastAsia="Times New Roman" w:hAnsi="Arial" w:cs="Arial"/>
          <w:sz w:val="24"/>
          <w:szCs w:val="24"/>
        </w:rPr>
      </w:pPr>
      <w:r w:rsidRPr="00227727">
        <w:rPr>
          <w:rFonts w:ascii="Arial" w:eastAsia="Times New Roman" w:hAnsi="Arial" w:cs="Arial"/>
          <w:b/>
          <w:bCs/>
          <w:sz w:val="24"/>
          <w:szCs w:val="24"/>
        </w:rPr>
        <w:t>RQ4:</w:t>
      </w:r>
      <w:r w:rsidRPr="00227727">
        <w:rPr>
          <w:rFonts w:ascii="Arial" w:eastAsia="Times New Roman" w:hAnsi="Arial" w:cs="Arial"/>
          <w:sz w:val="24"/>
          <w:szCs w:val="24"/>
        </w:rPr>
        <w:t xml:space="preserve"> To what extent do HRM practices moderate the relationship between smarter working and employees' psychological wellbeing?</w:t>
      </w:r>
    </w:p>
    <w:p w14:paraId="65556A6C" w14:textId="77777777" w:rsidR="00227727" w:rsidRPr="00227727" w:rsidRDefault="00227727" w:rsidP="00227727">
      <w:pPr>
        <w:pStyle w:val="Heading3"/>
        <w:rPr>
          <w:rFonts w:ascii="Arial" w:hAnsi="Arial" w:cs="Arial"/>
          <w:sz w:val="26"/>
        </w:rPr>
      </w:pPr>
      <w:r w:rsidRPr="00227727">
        <w:rPr>
          <w:rFonts w:ascii="Arial" w:hAnsi="Arial" w:cs="Arial"/>
          <w:sz w:val="26"/>
        </w:rPr>
        <w:t>Research Objectives</w:t>
      </w:r>
    </w:p>
    <w:p w14:paraId="18E099C4"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After offering research questions, this study also offers research objectives:</w:t>
      </w:r>
    </w:p>
    <w:p w14:paraId="7B77A73A" w14:textId="77777777" w:rsidR="00227727" w:rsidRPr="00227727" w:rsidRDefault="00227727" w:rsidP="00227727">
      <w:pPr>
        <w:spacing w:before="100" w:beforeAutospacing="1" w:after="100" w:afterAutospacing="1" w:line="360" w:lineRule="auto"/>
        <w:jc w:val="both"/>
        <w:rPr>
          <w:rFonts w:ascii="Arial" w:eastAsia="Times New Roman" w:hAnsi="Arial" w:cs="Arial"/>
          <w:sz w:val="24"/>
          <w:szCs w:val="24"/>
        </w:rPr>
      </w:pPr>
      <w:r w:rsidRPr="00227727">
        <w:rPr>
          <w:rFonts w:ascii="Arial" w:eastAsia="Times New Roman" w:hAnsi="Arial" w:cs="Arial"/>
          <w:b/>
          <w:bCs/>
          <w:sz w:val="24"/>
          <w:szCs w:val="24"/>
        </w:rPr>
        <w:t>RO1:</w:t>
      </w:r>
      <w:r w:rsidRPr="00227727">
        <w:rPr>
          <w:rFonts w:ascii="Arial" w:eastAsia="Times New Roman" w:hAnsi="Arial" w:cs="Arial"/>
          <w:sz w:val="24"/>
          <w:szCs w:val="24"/>
        </w:rPr>
        <w:t xml:space="preserve"> To investigate the direct impact of smarter working practices on employees' job performance, using the Job Demands-Resources (JD-R) theoretical framework.</w:t>
      </w:r>
    </w:p>
    <w:p w14:paraId="385750A9" w14:textId="77777777" w:rsidR="00227727" w:rsidRPr="00227727" w:rsidRDefault="00227727" w:rsidP="00227727">
      <w:pPr>
        <w:spacing w:before="100" w:beforeAutospacing="1" w:after="100" w:afterAutospacing="1" w:line="360" w:lineRule="auto"/>
        <w:jc w:val="both"/>
        <w:rPr>
          <w:rFonts w:ascii="Arial" w:eastAsia="Times New Roman" w:hAnsi="Arial" w:cs="Arial"/>
          <w:sz w:val="24"/>
          <w:szCs w:val="24"/>
        </w:rPr>
      </w:pPr>
      <w:r w:rsidRPr="00227727">
        <w:rPr>
          <w:rFonts w:ascii="Arial" w:eastAsia="Times New Roman" w:hAnsi="Arial" w:cs="Arial"/>
          <w:b/>
          <w:bCs/>
          <w:sz w:val="24"/>
          <w:szCs w:val="24"/>
        </w:rPr>
        <w:t>RO2:</w:t>
      </w:r>
      <w:r w:rsidRPr="00227727">
        <w:rPr>
          <w:rFonts w:ascii="Arial" w:eastAsia="Times New Roman" w:hAnsi="Arial" w:cs="Arial"/>
          <w:sz w:val="24"/>
          <w:szCs w:val="24"/>
        </w:rPr>
        <w:t xml:space="preserve"> To examine the effects of smarter working on job satisfaction and job stress, and to validate the dual psychological outcomes through empirical testing.</w:t>
      </w:r>
    </w:p>
    <w:p w14:paraId="08BE2F27" w14:textId="77777777" w:rsidR="00227727" w:rsidRPr="00227727" w:rsidRDefault="00227727" w:rsidP="00227727">
      <w:pPr>
        <w:spacing w:before="100" w:beforeAutospacing="1" w:after="100" w:afterAutospacing="1" w:line="360" w:lineRule="auto"/>
        <w:jc w:val="both"/>
        <w:rPr>
          <w:rFonts w:ascii="Arial" w:eastAsia="Times New Roman" w:hAnsi="Arial" w:cs="Arial"/>
          <w:sz w:val="24"/>
          <w:szCs w:val="24"/>
        </w:rPr>
      </w:pPr>
      <w:r w:rsidRPr="00227727">
        <w:rPr>
          <w:rFonts w:ascii="Arial" w:eastAsia="Times New Roman" w:hAnsi="Arial" w:cs="Arial"/>
          <w:b/>
          <w:bCs/>
          <w:sz w:val="24"/>
          <w:szCs w:val="24"/>
        </w:rPr>
        <w:t>RO3:</w:t>
      </w:r>
      <w:r w:rsidRPr="00227727">
        <w:rPr>
          <w:rFonts w:ascii="Arial" w:eastAsia="Times New Roman" w:hAnsi="Arial" w:cs="Arial"/>
          <w:sz w:val="24"/>
          <w:szCs w:val="24"/>
        </w:rPr>
        <w:t xml:space="preserve"> To analyse the mediating role of employee wellbeing in the relationship between smarter working and job performance.</w:t>
      </w:r>
    </w:p>
    <w:p w14:paraId="032390C9" w14:textId="77777777" w:rsidR="00227727" w:rsidRPr="00227727" w:rsidRDefault="00227727" w:rsidP="00227727">
      <w:pPr>
        <w:spacing w:before="100" w:beforeAutospacing="1" w:after="100" w:afterAutospacing="1" w:line="360" w:lineRule="auto"/>
        <w:jc w:val="both"/>
        <w:rPr>
          <w:rFonts w:ascii="Arial" w:eastAsia="Times New Roman" w:hAnsi="Arial" w:cs="Arial"/>
          <w:sz w:val="24"/>
          <w:szCs w:val="24"/>
        </w:rPr>
      </w:pPr>
      <w:r w:rsidRPr="00227727">
        <w:rPr>
          <w:rFonts w:ascii="Arial" w:eastAsia="Times New Roman" w:hAnsi="Arial" w:cs="Arial"/>
          <w:b/>
          <w:bCs/>
          <w:sz w:val="24"/>
          <w:szCs w:val="24"/>
        </w:rPr>
        <w:t>RO4:</w:t>
      </w:r>
      <w:r w:rsidRPr="00227727">
        <w:rPr>
          <w:rFonts w:ascii="Arial" w:eastAsia="Times New Roman" w:hAnsi="Arial" w:cs="Arial"/>
          <w:sz w:val="24"/>
          <w:szCs w:val="24"/>
        </w:rPr>
        <w:t xml:space="preserve"> To evaluate the moderating influence of HRM practices on the relationship between smarter working and psychological wellbeing among employees in public sector organisations.</w:t>
      </w:r>
    </w:p>
    <w:p w14:paraId="0676298B" w14:textId="77777777" w:rsidR="00227727" w:rsidRPr="00227727" w:rsidRDefault="00227727" w:rsidP="00227727">
      <w:pPr>
        <w:pStyle w:val="Heading3"/>
        <w:rPr>
          <w:rFonts w:ascii="Arial" w:hAnsi="Arial" w:cs="Arial"/>
          <w:sz w:val="26"/>
        </w:rPr>
      </w:pPr>
      <w:r w:rsidRPr="00227727">
        <w:rPr>
          <w:rFonts w:ascii="Arial" w:hAnsi="Arial" w:cs="Arial"/>
          <w:sz w:val="26"/>
        </w:rPr>
        <w:t>Research Scope</w:t>
      </w:r>
    </w:p>
    <w:p w14:paraId="7E2467A7" w14:textId="646ADBEA"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The proposed research intends to draw on survey data from multiple public sector organisations from the railway industry. The study will limit its focus of research to smarter working in the UK public sector to maintain a clear and manageable focus. Data analysis from the public sector would provide new insights of the mechanism of how smarter working affects individual wellbeing and hence performance in public workplaces. This research seeks to contribute to the ongoing debate on flexible working in several ways: first, to identify factors that influence the uptake of smarter working in the public sector. Second, to establish whether there is a relationship between smarter working, employee wellbeing and job performance in the public sector. Third, to explore whether smarter working improve performance </w:t>
      </w:r>
      <w:r w:rsidRPr="00227727">
        <w:rPr>
          <w:rFonts w:ascii="Arial" w:hAnsi="Arial" w:cs="Arial"/>
          <w:sz w:val="24"/>
          <w:szCs w:val="24"/>
        </w:rPr>
        <w:lastRenderedPageBreak/>
        <w:t>in the public sector. Fourth, extend the current understanding of the impact of smarter working in the public sector to the public. Findings from this research would contribute and extend current literature of smarter working primarily in the public sector. The study aims to provide a possible solution based on empirical evidence to the challenges and public scrutiny many organisations are facing and intends to contribute towards an overall awareness on the effects of smarter working on employees and the performance of organisation.</w:t>
      </w:r>
    </w:p>
    <w:p w14:paraId="55A95E4F"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ab/>
        <w:t>The study investigates the role of smarter working practices in shaping employee outcomes in public-sector organisations, focusing on job performance, job satisfaction, job stress, and employee psychological wellbeing. Recognising that much of the smarter working literature is heavily biased towards private sector settings, this study addresses the distinct organisational, structural, and cultural dynamics in public sector institutions. This study seeks to provide the understanding of how flexible, digital, and autonomous work practices are experienced in environments traditionally characterised by bureaucratic rigidity and procedural formalism by investigating how smarter working influences job performance (RQ1) and assessing the dual outcomes of job satisfaction and job stress (RQ2). Furthermore, the study goes beyond simple direct effect analyses to investigate the mediating role of employee wellbeing in the smarter working-performance relationship (RQ3), recognising the complex psychological mechanisms that support workplace productivity in a changing work landscape. Finally, by testing the moderating influence of HRM practices (RQ4), the study aims to identify the organisational conditions under which smarter working produces the best psychological outcomes, providing valuable insights for public sector managers and policymakers who are increasingly expected to balance innovation with employee wellbeing and performance outcomes. The study takes a rigorous methodological approach, ensuring that measurements of smarter working, job performance, job satisfaction, job stress, psychological wellbeing, and HRM practices are based on validated scales, and that analyses are conducted with an understanding of the structural characteristics unique to public sector employment.</w:t>
      </w:r>
    </w:p>
    <w:p w14:paraId="5D93DD6E"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 xml:space="preserve">The scope also includes a critical temporal and contextual dimension, acknowledging that smarter working practices have evolved quickly in response to external shocks such as the COVID-19 pandemic and ongoing technological advancements. Rather than viewing smarter working as a temporary adaptation, this study sees it as a permanent and strategic organisational change whose implications must be understood in the immediate aftermath of a crisis and the long term. As a result, the study situates its investigation within the larger transformation of public sector work culture, digitalisation initiatives, and changing employee expectations for flexibility, autonomy, and wellbeing. The research uses an integrated lens to capture the multifaceted nature of smarter working outcomes, drawing on various interdisciplinary theoretical perspectives such as SMART work design principles, sustainable HRM theories, and psychological wellbeing frameworks. While the primary focus is on public sector organisations, the findings are intended to have broader implications for other formalised and regulated work environments facing similar challenges in adapting to new working methods. Overall, the study aims to not only fill critical empirical and theoretical gaps identified in previous </w:t>
      </w:r>
      <w:r w:rsidRPr="00227727">
        <w:rPr>
          <w:rFonts w:ascii="Arial" w:hAnsi="Arial" w:cs="Arial"/>
          <w:sz w:val="24"/>
          <w:szCs w:val="24"/>
        </w:rPr>
        <w:lastRenderedPageBreak/>
        <w:t>research but also to provide actionable recommendations that can guide future smarter working policies, HRM interventions, and organisational reforms in the pursuit of long-term performance and employee wellbeing.</w:t>
      </w:r>
    </w:p>
    <w:p w14:paraId="0CA2B1E9" w14:textId="77777777" w:rsidR="00227727" w:rsidRPr="00227727" w:rsidRDefault="00227727" w:rsidP="00227727">
      <w:pPr>
        <w:pStyle w:val="Heading3"/>
        <w:rPr>
          <w:rFonts w:ascii="Arial" w:hAnsi="Arial" w:cs="Arial"/>
          <w:sz w:val="26"/>
        </w:rPr>
      </w:pPr>
      <w:r w:rsidRPr="00227727">
        <w:rPr>
          <w:rFonts w:ascii="Arial" w:hAnsi="Arial" w:cs="Arial"/>
          <w:sz w:val="26"/>
        </w:rPr>
        <w:t>Rational of the Research</w:t>
      </w:r>
    </w:p>
    <w:p w14:paraId="588FEF2A"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The rationale for conducting this research stems from the need to understand better, smarter working practices within public sector organisations, which remains largely unexplored despite the growing prevalence of flexible, digital, and autonomous work models. Although much research has been conducted on the implications of smarter working in the private sector (Davidescu et al., 2020; Girish et al., 2022; Oosthuizen, 2019), public organisations face unique constraints such as bureaucratic structures, strict regulatory environments, and rigid performance evaluation systems, which may fundamentally alter the impact of smarter working on employee outcomes. According to De Carlo et al. (2022) and Hur et al. (2019), public sector workplaces face unique barriers to technological and cultural change, implying that private sector findings cannot be generalised. Furthermore, while studies such as Falco et al. (2023) and Bonacci et al. (2024) have begun to address aspects of smarter working within government institutions, there is still a lack of comprehensive analyses linking smarter working practices to job performance, job satisfaction, job stress, and psychological wellbeing among public workers. This study fills a significant empirical gap by looking into the direct effects of smarter working, the mediating role of employee wellbeing, and the moderating role of HRM practices, providing a more comprehensive and understanding of how these variables interact. Given the strategic importance of employee wellbeing and performance in meeting public sector efficiency and service delivery goals, the findings of this study will be critical for informing smarter working policies and HRM interventions in government contexts, contributing to theoretical advancement and practical management improvements.</w:t>
      </w:r>
    </w:p>
    <w:p w14:paraId="24D70EF4"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This research is also supported by the growing global trend towards flexible and hybrid working arrangements, which has been accelerated by the COVID-19 pandemic but is unlikely to slow down in the aftermath. As public sector institutions seek smarter working models to improve resilience, employee engagement, and service innovation, empirical evidence is urgently needed to guide these transitions in a way that protects employee wellbeing and maintains high levels of job performance. Existing research, including studies by Barbieri et al. (2021) and Toscano and Zappalà (2020), shows that smarter working can have positive and negative consequences, such as increasing job satisfaction and autonomy while increasing stress, social isolation, and burnout risks. These mixed findings, however, highlight the need for more sophisticated models that capture not only direct effects but also underlying mechanisms and boundary conditions, such as the mediating influence of wellbeing and the moderating role of supportive HRM practices (Parker &amp; Knight, 2024; Shamaileh et al., 2023). Furthermore, while the private sector's flexibility in implementing smarter working has been well documented (Wang et al., 2023; Ferrara et al., 2022), the strict compliance-oriented nature of public organisations necessitates a sector-specific analysis. By focusing on public sector employees and </w:t>
      </w:r>
      <w:r w:rsidRPr="00227727">
        <w:rPr>
          <w:rFonts w:ascii="Arial" w:hAnsi="Arial" w:cs="Arial"/>
          <w:sz w:val="24"/>
          <w:szCs w:val="24"/>
          <w:lang w:bidi="ta-IN"/>
        </w:rPr>
        <w:lastRenderedPageBreak/>
        <w:t>using an integrated multi-theoretical framework, this study aims to provide practical, evidence-based recommendations that can assist government institutions in not only adopting smarter working practices but also optimising them to promote employee wellbeing, reducing stress, increasing satisfaction, and ultimately improve performance, thereby contributing to more sustainable, efficient, and human-centric public service delivery.</w:t>
      </w:r>
    </w:p>
    <w:p w14:paraId="6965614F" w14:textId="77777777" w:rsidR="00227727" w:rsidRPr="00227727" w:rsidRDefault="00227727" w:rsidP="00227727">
      <w:pPr>
        <w:pStyle w:val="Heading3"/>
        <w:spacing w:after="0" w:line="360" w:lineRule="auto"/>
        <w:rPr>
          <w:rFonts w:ascii="Arial" w:hAnsi="Arial" w:cs="Arial"/>
          <w:sz w:val="24"/>
        </w:rPr>
      </w:pPr>
      <w:r w:rsidRPr="00227727">
        <w:rPr>
          <w:rFonts w:ascii="Arial" w:hAnsi="Arial" w:cs="Arial"/>
          <w:sz w:val="24"/>
        </w:rPr>
        <w:t>Key Terms</w:t>
      </w:r>
    </w:p>
    <w:p w14:paraId="7152F627" w14:textId="77777777" w:rsidR="00227727" w:rsidRPr="00227727" w:rsidRDefault="00227727" w:rsidP="00227727">
      <w:pPr>
        <w:pStyle w:val="Heading3"/>
        <w:spacing w:before="0" w:after="0" w:line="360" w:lineRule="auto"/>
        <w:rPr>
          <w:rFonts w:ascii="Arial" w:hAnsi="Arial" w:cs="Arial"/>
          <w:i/>
          <w:sz w:val="24"/>
        </w:rPr>
      </w:pPr>
      <w:r w:rsidRPr="00227727">
        <w:rPr>
          <w:rFonts w:ascii="Arial" w:hAnsi="Arial" w:cs="Arial"/>
          <w:i/>
          <w:sz w:val="24"/>
        </w:rPr>
        <w:t>Smarter Working</w:t>
      </w:r>
    </w:p>
    <w:p w14:paraId="16BA29EF"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Smarter working is defined as a modern work arrangement that uses technology, flexible work practices, and employee autonomy to boost productivity, job satisfaction, and work-life balance. According to Oosthuizen (2019), smarter working entails using smart technologies such as artificial intelligence, robotics, and digital platforms to help employees achieve greater efficiency and adaptability. Similarly, Angelici and Profeta (2024) define smarter working as providing flexibility without constraints, emphasising empowering employees rather than simply enabling remote work. Falco et al. (2023) argue that smarter working entails strategically reducing physical presence requirements while preserving workload management and organisational cohesion. According to Bonacci et al. (2024), smarter working in the public sector entails rethinking traditional work models to foster employee satisfaction and organisational resilience. Furthermore, De Carlo et al. (2022) argue that smarter working aligns with the principles of the Job Demands-Resources model, allowing employees to balance work demands with available resources more effectively. This study defines smarter working as a holistic organisational transformation characterised by flexible work arrangements, digital technology integration, and increased autonomy to improve employee outcomes and organisational performance.</w:t>
      </w:r>
    </w:p>
    <w:p w14:paraId="7EE781B9" w14:textId="77777777" w:rsidR="00227727" w:rsidRPr="00227727" w:rsidRDefault="00227727" w:rsidP="00227727">
      <w:pPr>
        <w:pStyle w:val="Heading3"/>
        <w:spacing w:after="0" w:line="360" w:lineRule="auto"/>
        <w:rPr>
          <w:rFonts w:ascii="Arial" w:hAnsi="Arial" w:cs="Arial"/>
          <w:i/>
          <w:sz w:val="24"/>
          <w:szCs w:val="24"/>
        </w:rPr>
      </w:pPr>
      <w:r w:rsidRPr="00227727">
        <w:rPr>
          <w:rFonts w:ascii="Arial" w:hAnsi="Arial" w:cs="Arial"/>
          <w:i/>
          <w:sz w:val="24"/>
          <w:szCs w:val="24"/>
        </w:rPr>
        <w:t>Job Performance</w:t>
      </w:r>
    </w:p>
    <w:p w14:paraId="1268967D"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Job performance is defined as an employee's ability to complete the duties and responsibilities associated with their role while contributing to organisational goals. Mira et al. (2019) define job performance as a combination of individual ability and workplace conditions, emphasising the importance of supportive HRM practices. Girish et al. (2022) describe job performance in smart working environments, highlighting improvements associated with higher quality of life and fewer work constraints. Barbieri et al. (2024) state that job performance in smarter work environments includes adapting to digital tools and remote collaboration frameworks. Wang et al. (2023) argue that job performance under smarter working paradigms is dependent on successful technology adoption and employee adaptability. Furthermore, Saridakis et al. (2023) argue that individual resilience and organisational support influence job performance in work-from-home arrangements.</w:t>
      </w:r>
    </w:p>
    <w:p w14:paraId="5161EBB0" w14:textId="77777777" w:rsidR="00227727" w:rsidRPr="00227727" w:rsidRDefault="00227727" w:rsidP="00227727">
      <w:pPr>
        <w:pStyle w:val="Heading3"/>
        <w:spacing w:after="0" w:line="360" w:lineRule="auto"/>
        <w:rPr>
          <w:rFonts w:ascii="Arial" w:hAnsi="Arial" w:cs="Arial"/>
          <w:i/>
          <w:sz w:val="24"/>
          <w:szCs w:val="24"/>
        </w:rPr>
      </w:pPr>
      <w:r w:rsidRPr="00227727">
        <w:rPr>
          <w:rFonts w:ascii="Arial" w:hAnsi="Arial" w:cs="Arial"/>
          <w:i/>
          <w:sz w:val="24"/>
          <w:szCs w:val="24"/>
        </w:rPr>
        <w:t>Job Satisfaction</w:t>
      </w:r>
    </w:p>
    <w:p w14:paraId="349B9435"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 xml:space="preserve">Job satisfaction is widely defined as employees' positive attitudes towards their job roles, work environments, and opportunities for advancement. Davidescu et al. (2020) identify work flexibility as a </w:t>
      </w:r>
      <w:r w:rsidRPr="00227727">
        <w:rPr>
          <w:rFonts w:ascii="Arial" w:hAnsi="Arial" w:cs="Arial"/>
          <w:sz w:val="24"/>
          <w:szCs w:val="24"/>
          <w:lang w:bidi="ta-IN"/>
        </w:rPr>
        <w:lastRenderedPageBreak/>
        <w:t>major predictor of job satisfaction, demonstrating that employees with more autonomy report higher satisfaction levels. Kosec et al. (2022) find a strong link between job satisfaction and overall life satisfaction, especially in sedentary and digitally mediated jobs. Martin et al. (2022) discovered that remote and smarter working arrangements can boost job satisfaction by improving work-life balance and lowering commuting stress. Similarly, Barbieri et al. (2021) warn that while remote work can increase satisfaction, it may also create new sources of dissatisfaction if organisational support is inadequate. According to Galanti et al. (2021), perceived productivity and social connectivity strongly influence satisfaction in smart working environments.</w:t>
      </w:r>
    </w:p>
    <w:p w14:paraId="4F9183DA" w14:textId="77777777" w:rsidR="00227727" w:rsidRPr="00227727" w:rsidRDefault="00227727" w:rsidP="00227727">
      <w:pPr>
        <w:pStyle w:val="Heading3"/>
        <w:spacing w:after="0" w:line="360" w:lineRule="auto"/>
        <w:rPr>
          <w:rFonts w:ascii="Arial" w:hAnsi="Arial" w:cs="Arial"/>
          <w:i/>
          <w:sz w:val="24"/>
          <w:szCs w:val="24"/>
        </w:rPr>
      </w:pPr>
      <w:r w:rsidRPr="00227727">
        <w:rPr>
          <w:rFonts w:ascii="Arial" w:hAnsi="Arial" w:cs="Arial"/>
          <w:i/>
          <w:sz w:val="24"/>
          <w:szCs w:val="24"/>
        </w:rPr>
        <w:t>Job Stress</w:t>
      </w:r>
    </w:p>
    <w:p w14:paraId="1C7C30CB"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Job stress is the psychological strain caused by perceived differences between work demands and an individual's ability to meet those demands. According to Toscano and Zappalà (2020), smarter working can alleviate some stressors (e.g., commuting) while exacerbating others, such as social isolation and workload management. De Carlo et al. (2022) link prolonged, smarter working to an increased risk of burnout when job demands exceed available resources. Mondo et al. (2023) identify techno-stress as a critical dimension of job stress in smarter working environments, where constant connectivity and digital overload can overwhelm employees. Naseem (2018) emphasises the role of emotional intelligence in reducing job stress, implying that individual psychological resources are still important even in technologically advanced work environments. Bharathi and Sujatha (2024) show that perceived organisational support can mitigate the stress factors associated with healthcare employees' remote work experiences.</w:t>
      </w:r>
    </w:p>
    <w:p w14:paraId="6368931E" w14:textId="77777777" w:rsidR="00227727" w:rsidRPr="00227727" w:rsidRDefault="00227727" w:rsidP="00227727">
      <w:pPr>
        <w:pStyle w:val="Heading3"/>
        <w:spacing w:after="0" w:line="360" w:lineRule="auto"/>
        <w:rPr>
          <w:rFonts w:ascii="Arial" w:hAnsi="Arial" w:cs="Arial"/>
          <w:i/>
          <w:sz w:val="24"/>
          <w:szCs w:val="24"/>
        </w:rPr>
      </w:pPr>
      <w:r w:rsidRPr="00227727">
        <w:rPr>
          <w:rFonts w:ascii="Arial" w:hAnsi="Arial" w:cs="Arial"/>
          <w:i/>
          <w:sz w:val="24"/>
          <w:szCs w:val="24"/>
        </w:rPr>
        <w:t>Employees’ Wellbeing</w:t>
      </w:r>
    </w:p>
    <w:p w14:paraId="3DE0C8A8"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Employee wellbeing is a concept that includes physical, psychological, and social health outcomes associated with workplace experiences. Falco et al. (2023) define wellbeing in smarter working as balancing workload demands and physiological stress indicators. Al-Jubari et al. (2022) identify adaptability, organisational responsiveness, and work-family balance as important predictors of employee wellbeing during remote and flexible working periods. Yan et al. (2020) highlight the importance of psychological factors such as optimism and resilience in promoting employee wellbeing in digitally transformed workplaces. According to Fedorova et al. (2019), the digitalisation of HRM practices significantly impacts employee wellbeing, necessitating careful consideration of work design and technology integration. Parker and Knight (2024) situate wellbeing within the SMART work design model, arguing that autonomy, skill utilisation, and relational support are essential components of wellbeing.</w:t>
      </w:r>
    </w:p>
    <w:p w14:paraId="737E97F0" w14:textId="77777777" w:rsidR="00227727" w:rsidRPr="00227727" w:rsidRDefault="00227727" w:rsidP="00227727">
      <w:pPr>
        <w:pStyle w:val="Heading3"/>
        <w:spacing w:after="0" w:line="360" w:lineRule="auto"/>
        <w:rPr>
          <w:rFonts w:ascii="Arial" w:hAnsi="Arial" w:cs="Arial"/>
          <w:i/>
          <w:sz w:val="24"/>
          <w:szCs w:val="24"/>
        </w:rPr>
      </w:pPr>
      <w:r w:rsidRPr="00227727">
        <w:rPr>
          <w:rFonts w:ascii="Arial" w:hAnsi="Arial" w:cs="Arial"/>
          <w:i/>
          <w:sz w:val="24"/>
          <w:szCs w:val="24"/>
        </w:rPr>
        <w:t>Human Resource Management (HRM) Practices</w:t>
      </w:r>
    </w:p>
    <w:p w14:paraId="5A97DA42" w14:textId="70516908"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 xml:space="preserve">HRM practices are the formal systems organisations develop to manage people and optimise employee performance, development, and satisfaction. Mira et al. (2019) and Manuti et al. (2020) emphasise the importance of long-term human resource management practices such as continuous </w:t>
      </w:r>
      <w:r w:rsidRPr="00227727">
        <w:rPr>
          <w:rFonts w:ascii="Arial" w:hAnsi="Arial" w:cs="Arial"/>
          <w:sz w:val="24"/>
          <w:szCs w:val="24"/>
          <w:lang w:bidi="ta-IN"/>
        </w:rPr>
        <w:lastRenderedPageBreak/>
        <w:t>learning, employee empowerment, and participatory decision-making in fostering positive work outcomes. Shamaileh et al. (2023) define Smart HR 4.0 as HRM practices that must be technologically adaptive and employee-</w:t>
      </w:r>
      <w:r w:rsidR="00351EFC">
        <w:rPr>
          <w:rFonts w:ascii="Arial" w:hAnsi="Arial" w:cs="Arial"/>
          <w:sz w:val="24"/>
          <w:szCs w:val="24"/>
          <w:lang w:bidi="ta-IN"/>
        </w:rPr>
        <w:t>centric</w:t>
      </w:r>
      <w:r w:rsidRPr="00227727">
        <w:rPr>
          <w:rFonts w:ascii="Arial" w:hAnsi="Arial" w:cs="Arial"/>
          <w:sz w:val="24"/>
          <w:szCs w:val="24"/>
          <w:lang w:bidi="ta-IN"/>
        </w:rPr>
        <w:t xml:space="preserve"> in smarter working environments. Parker and Knight (2024) emphasise the significance of work design as an HRM intervention that can improve job satisfaction and wellbeing. Singh et al. (2019) show that HRM practices based on sustainability principles significantly moderate the relationship between work contexts and employee wellbeing. Bharathi and Sujatha (2024) emphasise the importance of organisational support structures built into HRM frameworks in reducing work stress.</w:t>
      </w:r>
    </w:p>
    <w:p w14:paraId="0E9CEA6D" w14:textId="77777777" w:rsidR="00227727" w:rsidRPr="00227727" w:rsidRDefault="00227727" w:rsidP="00227727">
      <w:pPr>
        <w:pStyle w:val="Heading3"/>
        <w:spacing w:line="360" w:lineRule="auto"/>
        <w:rPr>
          <w:rFonts w:ascii="Arial" w:hAnsi="Arial" w:cs="Arial"/>
          <w:sz w:val="24"/>
          <w:szCs w:val="24"/>
        </w:rPr>
      </w:pPr>
      <w:r w:rsidRPr="00227727">
        <w:rPr>
          <w:rFonts w:ascii="Arial" w:hAnsi="Arial" w:cs="Arial"/>
          <w:sz w:val="24"/>
          <w:szCs w:val="24"/>
        </w:rPr>
        <w:t>Thesis Structure</w:t>
      </w:r>
    </w:p>
    <w:p w14:paraId="34D9FFE9"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This study consists of 7 chapters. Each chapters plays a particular role in the research:</w:t>
      </w:r>
    </w:p>
    <w:p w14:paraId="2A3B5CD8" w14:textId="77777777" w:rsidR="00227727" w:rsidRPr="00227727" w:rsidRDefault="00227727" w:rsidP="00227727">
      <w:pPr>
        <w:spacing w:line="360" w:lineRule="auto"/>
        <w:jc w:val="both"/>
        <w:rPr>
          <w:rFonts w:ascii="Arial" w:eastAsia="Times New Roman" w:hAnsi="Arial" w:cs="Arial"/>
          <w:color w:val="0E101A"/>
          <w:sz w:val="24"/>
          <w:szCs w:val="24"/>
        </w:rPr>
      </w:pPr>
      <w:r w:rsidRPr="00227727">
        <w:rPr>
          <w:rFonts w:ascii="Arial" w:eastAsia="Times New Roman" w:hAnsi="Arial" w:cs="Arial"/>
          <w:b/>
          <w:bCs/>
          <w:color w:val="0E101A"/>
          <w:sz w:val="24"/>
          <w:szCs w:val="24"/>
        </w:rPr>
        <w:t>Chapter 1: Introduction</w:t>
      </w:r>
      <w:r w:rsidRPr="00227727">
        <w:rPr>
          <w:rFonts w:ascii="Arial" w:eastAsia="Times New Roman" w:hAnsi="Arial" w:cs="Arial"/>
          <w:color w:val="0E101A"/>
          <w:sz w:val="24"/>
          <w:szCs w:val="24"/>
        </w:rPr>
        <w:t>: This chapter introduces the research background, identifies the research problem, defines key research questions, and highlights the significance and objectives of the study. It establishes the need to examine smarter working and its impact on employee outcomes within public sector organisations.</w:t>
      </w:r>
    </w:p>
    <w:p w14:paraId="4265A415" w14:textId="77777777" w:rsidR="00227727" w:rsidRPr="00227727" w:rsidRDefault="00227727" w:rsidP="00227727">
      <w:pPr>
        <w:spacing w:line="360" w:lineRule="auto"/>
        <w:jc w:val="both"/>
        <w:rPr>
          <w:rFonts w:ascii="Arial" w:eastAsia="Times New Roman" w:hAnsi="Arial" w:cs="Arial"/>
          <w:color w:val="0E101A"/>
          <w:sz w:val="24"/>
          <w:szCs w:val="24"/>
        </w:rPr>
      </w:pPr>
      <w:r w:rsidRPr="00227727">
        <w:rPr>
          <w:rFonts w:ascii="Arial" w:eastAsia="Times New Roman" w:hAnsi="Arial" w:cs="Arial"/>
          <w:b/>
          <w:bCs/>
          <w:color w:val="0E101A"/>
          <w:sz w:val="24"/>
          <w:szCs w:val="24"/>
        </w:rPr>
        <w:t>Chapter 2: Literature Review</w:t>
      </w:r>
      <w:r w:rsidRPr="00227727">
        <w:rPr>
          <w:rFonts w:ascii="Arial" w:eastAsia="Times New Roman" w:hAnsi="Arial" w:cs="Arial"/>
          <w:color w:val="0E101A"/>
          <w:sz w:val="24"/>
          <w:szCs w:val="24"/>
        </w:rPr>
        <w:t>: This chapter critically reviews existing literature on smarter working, job performance, job satisfaction, stress, employee wellbeing, and HRM practices. It identifies theoretical and empirical gaps that justify the research and sets the foundation for developing the research model.</w:t>
      </w:r>
    </w:p>
    <w:p w14:paraId="50549CC2" w14:textId="77777777" w:rsidR="00227727" w:rsidRPr="00227727" w:rsidRDefault="00227727" w:rsidP="00227727">
      <w:pPr>
        <w:spacing w:line="360" w:lineRule="auto"/>
        <w:jc w:val="both"/>
        <w:rPr>
          <w:rFonts w:ascii="Arial" w:eastAsia="Times New Roman" w:hAnsi="Arial" w:cs="Arial"/>
          <w:color w:val="0E101A"/>
          <w:sz w:val="24"/>
          <w:szCs w:val="24"/>
        </w:rPr>
      </w:pPr>
      <w:r w:rsidRPr="00227727">
        <w:rPr>
          <w:rFonts w:ascii="Arial" w:eastAsia="Times New Roman" w:hAnsi="Arial" w:cs="Arial"/>
          <w:b/>
          <w:bCs/>
          <w:color w:val="0E101A"/>
          <w:sz w:val="24"/>
          <w:szCs w:val="24"/>
        </w:rPr>
        <w:t>Chapter 3: Theoretical Framework and Hypotheses Development</w:t>
      </w:r>
      <w:r w:rsidRPr="00227727">
        <w:rPr>
          <w:rFonts w:ascii="Arial" w:eastAsia="Times New Roman" w:hAnsi="Arial" w:cs="Arial"/>
          <w:color w:val="0E101A"/>
          <w:sz w:val="24"/>
          <w:szCs w:val="24"/>
        </w:rPr>
        <w:t>: This chapter outlines the theoretical underpinnings of the study by integrating multiple frameworks such as smart work design, Job Demands-Resources model, and sustainable HRM theories. It also systematically develops hypotheses based on the literature reviewed and the identified research gaps.</w:t>
      </w:r>
    </w:p>
    <w:p w14:paraId="590EA43A" w14:textId="77777777" w:rsidR="00227727" w:rsidRPr="00227727" w:rsidRDefault="00227727" w:rsidP="00227727">
      <w:pPr>
        <w:spacing w:line="360" w:lineRule="auto"/>
        <w:jc w:val="both"/>
        <w:rPr>
          <w:rFonts w:ascii="Arial" w:eastAsia="Times New Roman" w:hAnsi="Arial" w:cs="Arial"/>
          <w:color w:val="0E101A"/>
          <w:sz w:val="24"/>
          <w:szCs w:val="24"/>
        </w:rPr>
      </w:pPr>
      <w:r w:rsidRPr="00227727">
        <w:rPr>
          <w:rFonts w:ascii="Arial" w:eastAsia="Times New Roman" w:hAnsi="Arial" w:cs="Arial"/>
          <w:b/>
          <w:bCs/>
          <w:color w:val="0E101A"/>
          <w:sz w:val="24"/>
          <w:szCs w:val="24"/>
        </w:rPr>
        <w:t>Chapter 4: Methodology</w:t>
      </w:r>
      <w:r w:rsidRPr="00227727">
        <w:rPr>
          <w:rFonts w:ascii="Arial" w:eastAsia="Times New Roman" w:hAnsi="Arial" w:cs="Arial"/>
          <w:color w:val="0E101A"/>
          <w:sz w:val="24"/>
          <w:szCs w:val="24"/>
        </w:rPr>
        <w:t>: This chapter details the research design, including population, sample, data collection methods, measurement instruments, and data analysis techniques. It justifies the methodological choices to ensure reliability, validity, and ethical rigour in addressing the research questions.</w:t>
      </w:r>
    </w:p>
    <w:p w14:paraId="21BF3889" w14:textId="77777777" w:rsidR="00227727" w:rsidRPr="00227727" w:rsidRDefault="00227727" w:rsidP="00227727">
      <w:pPr>
        <w:spacing w:line="360" w:lineRule="auto"/>
        <w:jc w:val="both"/>
        <w:rPr>
          <w:rFonts w:ascii="Arial" w:eastAsia="Times New Roman" w:hAnsi="Arial" w:cs="Arial"/>
          <w:color w:val="0E101A"/>
          <w:sz w:val="24"/>
          <w:szCs w:val="24"/>
        </w:rPr>
      </w:pPr>
      <w:r w:rsidRPr="00227727">
        <w:rPr>
          <w:rFonts w:ascii="Arial" w:eastAsia="Times New Roman" w:hAnsi="Arial" w:cs="Arial"/>
          <w:b/>
          <w:bCs/>
          <w:color w:val="0E101A"/>
          <w:sz w:val="24"/>
          <w:szCs w:val="24"/>
        </w:rPr>
        <w:t>Chapter 5: Results</w:t>
      </w:r>
      <w:r w:rsidRPr="00227727">
        <w:rPr>
          <w:rFonts w:ascii="Arial" w:eastAsia="Times New Roman" w:hAnsi="Arial" w:cs="Arial"/>
          <w:color w:val="0E101A"/>
          <w:sz w:val="24"/>
          <w:szCs w:val="24"/>
        </w:rPr>
        <w:t>: This chapter presents the descriptive statistics, measurement model assessment, and initial findings from the data analysis. It provides insights into the relationships between smarter working practices, job performance, job satisfaction, job stress, employee wellbeing, and HRM practices.</w:t>
      </w:r>
    </w:p>
    <w:p w14:paraId="3FE8B616" w14:textId="010E96C3" w:rsidR="00227727" w:rsidRPr="00227727" w:rsidRDefault="00227727" w:rsidP="00227727">
      <w:pPr>
        <w:spacing w:line="360" w:lineRule="auto"/>
        <w:jc w:val="both"/>
        <w:rPr>
          <w:rFonts w:ascii="Arial" w:eastAsia="Times New Roman" w:hAnsi="Arial" w:cs="Arial"/>
          <w:color w:val="0E101A"/>
          <w:sz w:val="24"/>
          <w:szCs w:val="24"/>
        </w:rPr>
      </w:pPr>
      <w:r w:rsidRPr="00227727">
        <w:rPr>
          <w:rFonts w:ascii="Arial" w:eastAsia="Times New Roman" w:hAnsi="Arial" w:cs="Arial"/>
          <w:b/>
          <w:bCs/>
          <w:color w:val="0E101A"/>
          <w:sz w:val="24"/>
          <w:szCs w:val="24"/>
        </w:rPr>
        <w:t>Chapter 6: Discussion</w:t>
      </w:r>
      <w:r w:rsidRPr="00227727">
        <w:rPr>
          <w:rFonts w:ascii="Arial" w:eastAsia="Times New Roman" w:hAnsi="Arial" w:cs="Arial"/>
          <w:color w:val="0E101A"/>
          <w:sz w:val="24"/>
          <w:szCs w:val="24"/>
        </w:rPr>
        <w:t>: This chapter discusses the findings from the survey. As well, this chapter sees how the findings contradict or consistent with the previous literature studies or not.</w:t>
      </w:r>
    </w:p>
    <w:p w14:paraId="5D9E4D6C" w14:textId="77777777" w:rsidR="00227727" w:rsidRPr="00227727" w:rsidRDefault="00227727" w:rsidP="00227727">
      <w:pPr>
        <w:spacing w:line="360" w:lineRule="auto"/>
        <w:jc w:val="both"/>
        <w:rPr>
          <w:rFonts w:ascii="Arial" w:eastAsia="Times New Roman" w:hAnsi="Arial" w:cs="Arial"/>
          <w:color w:val="0E101A"/>
          <w:sz w:val="24"/>
          <w:szCs w:val="24"/>
        </w:rPr>
      </w:pPr>
      <w:r w:rsidRPr="00227727">
        <w:rPr>
          <w:rFonts w:ascii="Arial" w:eastAsia="Times New Roman" w:hAnsi="Arial" w:cs="Arial"/>
          <w:b/>
          <w:bCs/>
          <w:color w:val="0E101A"/>
          <w:sz w:val="24"/>
          <w:szCs w:val="24"/>
        </w:rPr>
        <w:t>Chapter 7: Conclusion</w:t>
      </w:r>
      <w:r w:rsidRPr="00227727">
        <w:rPr>
          <w:rFonts w:ascii="Arial" w:eastAsia="Times New Roman" w:hAnsi="Arial" w:cs="Arial"/>
          <w:color w:val="0E101A"/>
          <w:sz w:val="24"/>
          <w:szCs w:val="24"/>
        </w:rPr>
        <w:t xml:space="preserve">: This chapter summarises the overall research contributions, revisits the main findings, and outlines the study's limitations. It also offers recommendations for policy, practice, and </w:t>
      </w:r>
      <w:r w:rsidRPr="00227727">
        <w:rPr>
          <w:rFonts w:ascii="Arial" w:eastAsia="Times New Roman" w:hAnsi="Arial" w:cs="Arial"/>
          <w:color w:val="0E101A"/>
          <w:sz w:val="24"/>
          <w:szCs w:val="24"/>
        </w:rPr>
        <w:lastRenderedPageBreak/>
        <w:t>future research directions, emphasising the importance of smarter working for sustainable employee outcomes.</w:t>
      </w:r>
    </w:p>
    <w:p w14:paraId="1D0D0380" w14:textId="77777777" w:rsidR="00227727" w:rsidRPr="00227727" w:rsidRDefault="00227727" w:rsidP="00227727">
      <w:pPr>
        <w:pStyle w:val="Heading3"/>
        <w:spacing w:line="360" w:lineRule="auto"/>
        <w:rPr>
          <w:rFonts w:ascii="Arial" w:hAnsi="Arial" w:cs="Arial"/>
          <w:sz w:val="24"/>
          <w:szCs w:val="24"/>
        </w:rPr>
      </w:pPr>
      <w:r w:rsidRPr="00227727">
        <w:rPr>
          <w:rFonts w:ascii="Arial" w:hAnsi="Arial" w:cs="Arial"/>
          <w:sz w:val="24"/>
          <w:szCs w:val="24"/>
        </w:rPr>
        <w:t>Summary</w:t>
      </w:r>
    </w:p>
    <w:p w14:paraId="174C021F"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The introduction chapter emphasises the growing importance of smarter working practices in modern organisations, particularly in the public sector, where traditional bureaucratic structures frequently pose barriers to flexible work adoption. The backdrop of digital transformation, accelerated by external shocks like the COVID-19 pandemic, has forced public sector organisations to reconsider traditional work models. However, despite the increasing adoption of smarter working practices, there is still a lack of empirical understanding of how these practices affect critical employee outcomes such as job performance, job satisfaction, job stress, and overall psychological wellbeing in highly structured government environments. The chapter emphasises the importance of investigating these relationships, stating that while private sector studies have yielded extensive findings, the public sector's unique administrative, procedural, and cultural characteristics necessitate a separate analysis. The introduction also presents the central research questions that will guide this study, with a focus on the direct effects of smarter working, the mediating role of employee wellbeing, and the moderating role of HRM practices, thereby establishing a clear path for addressing gaps in the existing literature.</w:t>
      </w:r>
    </w:p>
    <w:p w14:paraId="59FA10B7"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The chapter expands on the broader significance by situating it within global trends towards flexible, digital, and employee-centric work environments. It emphasises that while smarter working is frequently associated with positive outcomes such as increased autonomy, increased productivity, and improved work-life balance, there is evidence of potential drawbacks such as increased stress, social isolation, and techno-stress, particularly when inadequate organisational support structures. By investigating these complex and sometimes contradictory outcomes in the context of public sector organisations, the study hopes to provide more tailored insights that policymakers and public managers can use to design more sustainable, resilient work systems. Furthermore, the introduction explains how the study will make a theoretical contribution by combining frameworks such as smarter working design, the Job Demands-Resources model, and sustainable HRM theories to provide a multifaceted view of how smarter working shapes employee experiences and organisational outcomes over time. Practical contributions are also highlighted, with the research aimed at guiding human resource strategies, organisational policies, and digital transformation efforts in public administration.</w:t>
      </w:r>
    </w:p>
    <w:p w14:paraId="696011D2" w14:textId="77777777" w:rsidR="00227727" w:rsidRPr="00227727" w:rsidRDefault="00227727" w:rsidP="00227727">
      <w:pPr>
        <w:spacing w:line="360" w:lineRule="auto"/>
        <w:ind w:firstLine="720"/>
        <w:jc w:val="both"/>
        <w:rPr>
          <w:rFonts w:ascii="Arial" w:hAnsi="Arial" w:cs="Arial"/>
          <w:sz w:val="24"/>
          <w:szCs w:val="24"/>
        </w:rPr>
        <w:sectPr w:rsidR="00227727" w:rsidRPr="00227727" w:rsidSect="00227727">
          <w:pgSz w:w="11900" w:h="16840"/>
          <w:pgMar w:top="567" w:right="567" w:bottom="567" w:left="567" w:header="709" w:footer="709" w:gutter="0"/>
          <w:cols w:space="708"/>
          <w:docGrid w:linePitch="360"/>
        </w:sectPr>
      </w:pPr>
      <w:r w:rsidRPr="00227727">
        <w:rPr>
          <w:rFonts w:ascii="Arial" w:hAnsi="Arial" w:cs="Arial"/>
          <w:sz w:val="24"/>
          <w:szCs w:val="24"/>
        </w:rPr>
        <w:t xml:space="preserve">The introduction lays the groundwork for the research by clearly defining the research objectives, emphasising the importance of investigating the direct relationships between smarter working and employee outcomes and the mechanisms by which these relationships operate. It provides a rationale for focussing on employee wellbeing as a key mediating factor and HRM practices as a moderating influence, thereby filling critical theoretical and empirical gaps. The research scope is precisely defined, encompassing public sector organisations and situating the research within the post-pandemic era of workplace transformation. The chapter also briefly describes the overall thesis structure, outlining how the literature review, theoretical framework, methodology, results, discussion, </w:t>
      </w:r>
      <w:r w:rsidRPr="00227727">
        <w:rPr>
          <w:rFonts w:ascii="Arial" w:hAnsi="Arial" w:cs="Arial"/>
          <w:sz w:val="24"/>
          <w:szCs w:val="24"/>
        </w:rPr>
        <w:lastRenderedPageBreak/>
        <w:t>and conclusion chapters will build the argument and present findings sequentially. In doing so, the introduction chapter lays a solid foundation for the research, ensuring a coherent and logical flow throughout the thesis while aligning all elements with the overarching goal of improving smarter working practices for better employee and organisational outcomes in the public sector.</w:t>
      </w:r>
    </w:p>
    <w:p w14:paraId="2598A139" w14:textId="77777777" w:rsidR="00227727" w:rsidRPr="00227727" w:rsidRDefault="00227727" w:rsidP="00227727">
      <w:pPr>
        <w:pStyle w:val="Heading2"/>
        <w:rPr>
          <w:rFonts w:ascii="Arial" w:hAnsi="Arial" w:cs="Arial"/>
        </w:rPr>
      </w:pPr>
      <w:bookmarkStart w:id="4" w:name="_Toc197072217"/>
      <w:r w:rsidRPr="00227727">
        <w:rPr>
          <w:rFonts w:ascii="Arial" w:hAnsi="Arial" w:cs="Arial"/>
        </w:rPr>
        <w:lastRenderedPageBreak/>
        <w:t>LITERATURE REVIEW</w:t>
      </w:r>
      <w:bookmarkEnd w:id="4"/>
    </w:p>
    <w:p w14:paraId="6B6DCBD1"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This chapter discusses the literature review on the particular variables, used in the study. The literature review chapter covers relevant studies, theories, and empirical evidence. This chapter discusses key concepts, definitions, and variable relationships, synthesising prior findings to identify gaps and lay the groundwork for the current study. The theoretical frameworks that underpin the research are examined in detail to provide a conceptual framework for understanding the phenomena. The chapter integrates literature insights and aligns them with the theoretical framework to develop hypotheses. This section explains each hypothesis and links the research objectives to existing knowledge to ensure a coherent and scholarly approach to the research questions.</w:t>
      </w:r>
    </w:p>
    <w:p w14:paraId="6E30EF09" w14:textId="77777777" w:rsidR="00227727" w:rsidRPr="00227727" w:rsidRDefault="00227727" w:rsidP="00227727">
      <w:pPr>
        <w:pStyle w:val="Heading3"/>
        <w:rPr>
          <w:rFonts w:ascii="Arial" w:hAnsi="Arial" w:cs="Arial"/>
          <w:sz w:val="26"/>
        </w:rPr>
      </w:pPr>
      <w:r w:rsidRPr="00227727">
        <w:rPr>
          <w:rFonts w:ascii="Arial" w:hAnsi="Arial" w:cs="Arial"/>
          <w:sz w:val="26"/>
        </w:rPr>
        <w:t>History of UK Railway Transportation</w:t>
      </w:r>
    </w:p>
    <w:p w14:paraId="664F0B80"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The United Kingdom has one of the world's oldest and most historically significant railway networks, dating back to 1825 when the Stockton and Darlington Railway opened. Railways have long played an important role in the United Kingdom's industrial, economic, and social development, promoting urbanisation and connecting remote communities. However, the network has undergone several waves of restructuring, ranging from post-World War II nationalisation to controversial privatisation in the 1990s. According to Dunning et al. (2019), recent decades have seen increased investment in improving public transport accessibility, which has revitalised housing markets near railway nodes and sparked debate about the socioeconomic implications of railway proximity. Meanwhile, Woodburn (2019) examines the evolution of rail freight services, noting how the sector's resilience has become critical, particularly during unplanned disruptions, emphasising the historical and contemporary relevance of a responsive and adaptable rail network.</w:t>
      </w:r>
    </w:p>
    <w:p w14:paraId="0179289C"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Understanding the passenger experience has become increasingly important in UK railway research, particularly with the introduction of digital technologies and real-time data collection. Mogaji and Erkan (2018) used social media analytics to investigate consumer experiences on UK railways, discovering that service reliability, station amenities, and rail operators' digital communication all significantly impact customer perceptions. Their findings highlight that modern passengers expect on-time service, seamless digital engagement, and complaint resolution. Simultaneously, Hillel et al. (2018) advanced the field by recreating passenger mode choice sets for transport simulation in London, emphasising the importance of realistic modelling of travellers' decisions in developing practical and sustainable transport policies. Their findings highlight the importance of incorporating behavioural insights into railway planning, moving beyond traditional assumptions of rational commuter behaviour and addressing the complex, multifaceted nature of transportation choices.</w:t>
      </w:r>
    </w:p>
    <w:p w14:paraId="2017ACDC"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Recent literature also identifies significant challenges and opportunities for the UK railway system in the twenty-first century. Woodburn (2019) emphasised improving operational resilience, particularly in light of rising demand, climate change threats, and increased system complexity. His rail freight case study demonstrated how agility and responsiveness during unexpected disruptions could significantly improve service continuity and customer satisfaction. Similarly, Dunning et al. (2019) </w:t>
      </w:r>
      <w:r w:rsidRPr="00227727">
        <w:rPr>
          <w:rFonts w:ascii="Arial" w:hAnsi="Arial" w:cs="Arial"/>
          <w:sz w:val="24"/>
          <w:szCs w:val="24"/>
          <w:lang w:bidi="ta-IN"/>
        </w:rPr>
        <w:lastRenderedPageBreak/>
        <w:t>demonstrated how transport infrastructure improvements must be linked to broader urban planning strategies to maximise social benefits such as increased housing value and accessibility equity. Meanwhile, Mogaji and Erkan (2018) and Hillel et al. (2018) demonstrated that integrating digital technologies, predictive modelling, and passenger-centric service design will be critical to the future competitiveness of UK railways. Collectively, these studies indicate that the future of the UK rail network lies in infrastructure investment and in implementing smarter, more flexible, and customer-centric operational strategies.</w:t>
      </w:r>
    </w:p>
    <w:p w14:paraId="474F32A3" w14:textId="77777777" w:rsidR="00227727" w:rsidRPr="00227727" w:rsidRDefault="00227727" w:rsidP="00227727">
      <w:pPr>
        <w:pStyle w:val="Heading3"/>
        <w:rPr>
          <w:rFonts w:ascii="Arial" w:hAnsi="Arial" w:cs="Arial"/>
          <w:sz w:val="26"/>
        </w:rPr>
      </w:pPr>
      <w:r w:rsidRPr="00227727">
        <w:rPr>
          <w:rFonts w:ascii="Arial" w:hAnsi="Arial" w:cs="Arial"/>
          <w:sz w:val="26"/>
        </w:rPr>
        <w:t>Smarter Working</w:t>
      </w:r>
    </w:p>
    <w:p w14:paraId="44567DD4"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Smarter working has emerged as a strategic organisational approach for redesigning work practices to increase employee flexibility, autonomy, and productivity (Parker &amp; Knight, 2023; Angelici &amp; Profeta, 2024). Smarter working, founded on optimising work through technology, flexibility, and supportive policies, seeks to improve organisational performance and employee well-being (Davidescu et al., 2020; Barbieri et al., 2021). Digital tools, flexible scheduling, and outcome-focused performance metrics have altered traditional work paradigms (Galanti et al., 2021; Bucea-Manea-Ěoniş et al., 2021). Scholars such as Di Tecco et al. (2021) argue that smarter working goes beyond remote work by increasing productivity while maintaining health, job satisfaction, and social connectedness. This strategic flexibility is consistent with modern demands for sustainable human resource management and greater employee empowerment (Girish et al., 2022; Bonacci et al., 2024).</w:t>
      </w:r>
    </w:p>
    <w:p w14:paraId="452611BF"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According to the Job Demands-Resources (JD-R) Theory, smarter working is a critical job resource that allows employees to better cope with job demands, fostering engagement and reducing burnout (Bakker &amp; Demerouti, 2017; Mura et al., 2018). According to research, smarter working practices such as flexible hours, task autonomy, and remote working options significantly impact employee well-being. Smarter working mitigates the negative effects of high job demands and increases employees' psychological resources such as optimism, self-efficacy, and resilience (Dicke et al., 2017; Zhou et al., 2022). Smarter working promotes positive outcomes such as increased job satisfaction, reduced emotional exhaustion, and improved performance by giving employees autonomy and control over their work environment (Galanakis &amp; Tsitouri, 2022; Berger et al., 2019).</w:t>
      </w:r>
    </w:p>
    <w:p w14:paraId="60839D28"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Self-determination theory (SDT) enhances our understanding of smarter working by explaining its motivational mechanisms (Ryan &amp; Deci, 2000; McAnally &amp; Hagger, 2024). Smarter work environments that promote autonomy, competence, and relatedness can significantly improve intrinsic motivation, a key driver of performance and well-being (Blechman et al., 2022; Manganelli et al., 2018). Recent research by Camilleri (2021) and Krause et al. (2019) shows that when employees have more autonomy through smarter working arrangements, their well-being and engagement improve significantly. This demonstrates that smarter working is more than just a structural change; it is also a powerful psychological tool (Li et al., 2021; Nunes et al., 2024). In this regard, meeting employees' basic psychological needs in smarter working contexts leads to increased satisfaction and creativity, which fosters long-term individual and organisational success.</w:t>
      </w:r>
    </w:p>
    <w:p w14:paraId="34310064" w14:textId="154FFF98"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lastRenderedPageBreak/>
        <w:t xml:space="preserve">The empirical evidence for smarter working during and after the COVID-19 pandemic has been particularly instructive. Falco et al. (2023) and Marino &amp; Capone (2021) emphasised that smarter working when supported by HRM and leadership, reduced stress and maintained work-life balance during lockdowns. However, research warns of potential risks. Di Carlo et al. (2022) and Barbieri et al. (2021) warn that smarter working without organisational support may result in social isolation and "technostress," emphasising the importance of balancing flexibility with social and emotional connectedness. De Carlo et al. (2022) discovered that while smarter working promotes autonomy, excessive work </w:t>
      </w:r>
      <w:r w:rsidR="00351EFC" w:rsidRPr="00227727">
        <w:rPr>
          <w:rFonts w:ascii="Arial" w:hAnsi="Arial" w:cs="Arial"/>
          <w:sz w:val="24"/>
          <w:szCs w:val="24"/>
        </w:rPr>
        <w:t>demands,</w:t>
      </w:r>
      <w:r w:rsidRPr="00227727">
        <w:rPr>
          <w:rFonts w:ascii="Arial" w:hAnsi="Arial" w:cs="Arial"/>
          <w:sz w:val="24"/>
          <w:szCs w:val="24"/>
        </w:rPr>
        <w:t xml:space="preserve"> and inadequate managerial support can lead to burnout. Thus, smarter working must be carefully implemented, considering job design and social support mechanisms.</w:t>
      </w:r>
    </w:p>
    <w:p w14:paraId="56E8D5A4"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Human Resource Management (HRM) plays an important moderating role in the effectiveness of smarter working initiatives. According to Yunus et al. (2023) and Li et al. (2023), human resource management practices prioritising employee well-being, such as supportive leadership, psychological safety, and open communication, amplify the benefits of smarter working. HR policies that allow flexible scheduling, career development, and technological readiness increase employee engagement and reduce stress (Galanakis &amp; Tsitouri, 2022; Berger et al., 2019). Furthermore, Mura et al. (2018) and Tummers and Bakker (2021) argue that HRM can serve as an important buffer, assisting employees in transforming flexible work opportunities into meaningful experiences that improve well-being and organisational performance. This synergy between HRM practices and smarter working has become essential for achieving sustainable competitive advantage in contemporary organisations.</w:t>
      </w:r>
    </w:p>
    <w:p w14:paraId="3D58E233"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Interestingly, smarter working has had varying effects across sectors and individual profiles. Oosthuizen (2019) and Girish et al. (2022) found that technology-intensive sectors and knowledge workers benefit the most from smarter working arrangements, as these environments rely heavily on cognitive autonomy and innovation. In contrast, studies by Bonacci et al. (2024) show that the transition to smarter working necessitates significant cultural change to avoid work intensification and alienation in highly bureaucratic or hierarchical sectors. Furthermore, age, digital literacy, and socioeconomic background influence the effectiveness of smarter working, indicating that a one-size-fits-all approach is insufficient (Mura et al., 2018; Angelici &amp; Profeta, 2024). Organisational interventions must be context-sensitive and inclusive to fully benefit from smarter working across diverse workforces.</w:t>
      </w:r>
    </w:p>
    <w:p w14:paraId="15EA8E67" w14:textId="1FC769D6"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The long-term implications of smarter working indicate that it can transform organisational culture and leadership. Klonek &amp; Parker (2021) and Parker &amp; Knight (2024) found that smarter working promotes a shift away from traditional command-and-control management and towards leadership models based on trust, empowerment, and collaboration. Leaders in smarter working environments must act as facilitators rather than supervisors, focussing on coaching, goal setting, and emotional support (Berger et al., 2019; Tummers &amp; Bakker, 2021). This leadership transformation boosts employee satisfaction and creativity and increases organisational adaptability and resilience (Yin et al., 2018; Yunus et al., 2023). As a result, smarter working is more than just an operational change; it catalyses deeper organisational evolution towards sustainable, human-</w:t>
      </w:r>
      <w:r w:rsidR="00351EFC">
        <w:rPr>
          <w:rFonts w:ascii="Arial" w:hAnsi="Arial" w:cs="Arial"/>
          <w:sz w:val="24"/>
          <w:szCs w:val="24"/>
        </w:rPr>
        <w:t>centric</w:t>
      </w:r>
      <w:r w:rsidRPr="00227727">
        <w:rPr>
          <w:rFonts w:ascii="Arial" w:hAnsi="Arial" w:cs="Arial"/>
          <w:sz w:val="24"/>
          <w:szCs w:val="24"/>
        </w:rPr>
        <w:t xml:space="preserve"> management practices.</w:t>
      </w:r>
    </w:p>
    <w:p w14:paraId="6265D105"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lastRenderedPageBreak/>
        <w:t>The evidence strongly supports smarter working as a strategic organisational tool for promoting employee well-being, job performance, and long-term competitiveness. Smarter working, which is based on JD-R theory and SDT, optimises employee experiences by leveraging structural and psychological resources (Bakker &amp; Demerouti, 2017; Ryan &amp; Deci, 2000). However, its success depends on thoughtful implementation, organisational support, and alignment with employees' psychological needs (Manganelli et al., 2018; Yunus et al., 2023). While concerns about technostress and social isolation persist (Barbieri et al., 2021; Di Carlo et al., 2022), evidence suggests that when these issues are addressed proactively, smarter working can significantly improve employee and organisational outcomes (Galanakis &amp; Tsitouri, 2022; Tummers &amp; Bakker, 2021). Thus, smarter working is an important path for organisations looking to thrive in an increasingly dynamic, digital, and human-centric world.</w:t>
      </w:r>
    </w:p>
    <w:p w14:paraId="77109138" w14:textId="77777777" w:rsidR="00227727" w:rsidRPr="00227727" w:rsidRDefault="00227727" w:rsidP="00227727">
      <w:pPr>
        <w:pStyle w:val="Heading3"/>
        <w:rPr>
          <w:rFonts w:ascii="Arial" w:hAnsi="Arial" w:cs="Arial"/>
          <w:sz w:val="26"/>
        </w:rPr>
      </w:pPr>
      <w:r w:rsidRPr="00227727">
        <w:rPr>
          <w:rFonts w:ascii="Arial" w:hAnsi="Arial" w:cs="Arial"/>
          <w:sz w:val="26"/>
        </w:rPr>
        <w:t>Smarter Working during COVID-19</w:t>
      </w:r>
    </w:p>
    <w:p w14:paraId="519FFA78"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The COVID-19 pandemic has accelerated the global adoption of smarter working practices, fundamentally changing how organisations approach work flexibility and employee well-being (Falco et al., 2023; Marino &amp; Capone, 2021).  During the pandemic, smarter working emerged as a critical response to unprecedented disruptions, focusing on remote work, digital collaboration, and flexible scheduling to ensure organisational continuity.  Scholars such as De Carlo et al. (2022) noted that smarter working provided operational benefits and served as a protective mechanism for employee psychological health during times of increased uncertainty.  While smarter working reduced immediate exposure to health risks and allowed employees to keep their jobs, the research found that its success was heavily dependent on organisational support structures, leadership communication, and technological infrastructure (Toscano &amp; Zappalà, 2020; Al-Jubari et al., 2022).  Thus, smarter working during COVID-19 enabled remote work and a deeper transformation in work design, leadership, and employee support systems.</w:t>
      </w:r>
    </w:p>
    <w:p w14:paraId="0158A171"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Several studies investigated the two-sided nature of smarter working during the pandemic, revealing its benefits and unintended consequences.  While flexible work arrangements improved work-life balance for many employees, they also created issues such as social isolation, technostress, and blurred work-life boundaries (Galanti et al., 2021; Barbieri et al., 2021; Falco et al., 2023).  Di Carlo et al. (2022) discovered that while autonomy increased under smarter working conditions, it also increased workload and feelings of detachment, primarily in organisations that did not provide adequate managerial support.  Similarly, Martin et al. (2022) found that employees' perceptions of job stress and productivity were strongly linked to the quality of smarter working arrangements during the pandemic, indicating that poorly managed, smarter working could exacerbate mental health issues.  Furthermore, Al-Jubari et al. (2022) found that adaptability and organisational responsiveness were critical in mediating the impact of smarter working on well-being, emphasising that flexibility alone was insufficient without empathetic leadership and clear communication channels.</w:t>
      </w:r>
    </w:p>
    <w:p w14:paraId="40362958" w14:textId="6A01A84F"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lastRenderedPageBreak/>
        <w:t>Overall, the literature on smarter working during COVID-19 provides valuable insights into future organisational practices.  Smarter working, when implemented holistically—combining technological readiness, leadership agility, and employee-</w:t>
      </w:r>
      <w:r w:rsidR="00351EFC">
        <w:rPr>
          <w:rFonts w:ascii="Arial" w:hAnsi="Arial" w:cs="Arial"/>
          <w:sz w:val="24"/>
          <w:szCs w:val="24"/>
        </w:rPr>
        <w:t>centric</w:t>
      </w:r>
      <w:r w:rsidRPr="00227727">
        <w:rPr>
          <w:rFonts w:ascii="Arial" w:hAnsi="Arial" w:cs="Arial"/>
          <w:sz w:val="24"/>
          <w:szCs w:val="24"/>
        </w:rPr>
        <w:t xml:space="preserve"> policies—significantly improved employee satisfaction, resilience, and organisational performance (Falco et al., 2023; Barbieri et al., 2021).  However, researchers such as Marino and Capone (2021) and Toscano and Zappalà (2020) emphasised that smarter working must be combined with proactive strategies to prevent employee isolation and stress, such as encouraging virtual social interaction, supporting emotional well-being, and establishing precise work-life balance.  The COVID-19 experience demonstrated that smarter working is more than just a crisis response tool; it is also a sustainable model for future work, provided organisations are willing to invest in supportive leadership, mental health resources, and equitable digital access (Galanti et al., 2021; Al-Jubari et al., 2022).  These findings position smarter working as a strategic, long-term workforce transformation rather than a short-term emergency solution.</w:t>
      </w:r>
    </w:p>
    <w:p w14:paraId="78DCDEC5" w14:textId="77777777" w:rsidR="00227727" w:rsidRPr="00227727" w:rsidRDefault="00227727" w:rsidP="00227727">
      <w:pPr>
        <w:pStyle w:val="Heading3"/>
        <w:rPr>
          <w:rFonts w:ascii="Arial" w:hAnsi="Arial" w:cs="Arial"/>
          <w:sz w:val="26"/>
        </w:rPr>
      </w:pPr>
      <w:r w:rsidRPr="00227727">
        <w:rPr>
          <w:rFonts w:ascii="Arial" w:hAnsi="Arial" w:cs="Arial"/>
          <w:sz w:val="26"/>
        </w:rPr>
        <w:t>Smarter Working and Flexibility</w:t>
      </w:r>
    </w:p>
    <w:p w14:paraId="4C5B3403" w14:textId="77777777" w:rsidR="00227727" w:rsidRPr="00227727" w:rsidRDefault="00227727" w:rsidP="00227727">
      <w:pPr>
        <w:pStyle w:val="NormalWeb"/>
        <w:spacing w:before="0" w:beforeAutospacing="0" w:after="0" w:afterAutospacing="0" w:line="360" w:lineRule="auto"/>
        <w:jc w:val="both"/>
        <w:rPr>
          <w:rFonts w:ascii="Arial" w:hAnsi="Arial" w:cs="Arial"/>
          <w:color w:val="0E101A"/>
          <w:lang w:val="en-GB"/>
        </w:rPr>
      </w:pPr>
      <w:r w:rsidRPr="00227727">
        <w:rPr>
          <w:rFonts w:ascii="Arial" w:hAnsi="Arial" w:cs="Arial"/>
          <w:color w:val="0E101A"/>
          <w:lang w:val="en-GB"/>
        </w:rPr>
        <w:t xml:space="preserve">The COVID-19 pandemic threatened global growth. Technology allowed many employees to work remotely to reduce virus transmission. Smart work is part of a flexible workplace trend. Modern work practices include </w:t>
      </w:r>
      <w:r w:rsidRPr="00227727">
        <w:rPr>
          <w:rStyle w:val="Emphasis"/>
          <w:rFonts w:ascii="Arial" w:eastAsiaTheme="majorEastAsia" w:hAnsi="Arial" w:cs="Arial"/>
          <w:color w:val="0E101A"/>
          <w:lang w:val="en-GB"/>
        </w:rPr>
        <w:t>“smarter working,”</w:t>
      </w:r>
      <w:r w:rsidRPr="00227727">
        <w:rPr>
          <w:rFonts w:ascii="Arial" w:hAnsi="Arial" w:cs="Arial"/>
          <w:color w:val="0E101A"/>
          <w:lang w:val="en-GB"/>
        </w:rPr>
        <w:t xml:space="preserve"> a modern organisational framework (Angelici &amp; Profeta, 2024). This model allows employees to work remotely with a flexible schedule. Smart working is a flexible work arrangement that can adapt quickly and effectively. Under this model, employees work with their supervisors to create a personalized schedule that allows them to work from home or elsewhere for part of the workweek (Battiston et al., 2017; Choudhury et al., 2021; Emanuel &amp; Harrington, 2022). This period has no restrictions on work location or time. Using technology, smart workers can accomplish the same goals and results as in-office workers. Smart working time and space flexibility promote a results-oriented approach rather than office presence or fixed hours (Emanuel &amp; Harrington, 2022).</w:t>
      </w:r>
    </w:p>
    <w:p w14:paraId="61E72816" w14:textId="77777777" w:rsidR="00227727" w:rsidRPr="00227727" w:rsidRDefault="00227727" w:rsidP="00227727">
      <w:pPr>
        <w:pStyle w:val="NormalWeb"/>
        <w:spacing w:before="0" w:beforeAutospacing="0" w:after="0" w:afterAutospacing="0" w:line="360" w:lineRule="auto"/>
        <w:ind w:firstLine="720"/>
        <w:jc w:val="both"/>
        <w:rPr>
          <w:rFonts w:ascii="Arial" w:hAnsi="Arial" w:cs="Arial"/>
          <w:color w:val="0E101A"/>
          <w:lang w:val="en-GB"/>
        </w:rPr>
      </w:pPr>
      <w:r w:rsidRPr="00227727">
        <w:rPr>
          <w:rFonts w:ascii="Arial" w:hAnsi="Arial" w:cs="Arial"/>
          <w:color w:val="0E101A"/>
          <w:lang w:val="en-GB"/>
        </w:rPr>
        <w:t>Although this model garnered attention during the pandemic, the economic effects of smart working in non-pandemic contexts are unclear. Case studies and management surveys dominate the research on the economic effects, which are not always conclusive. Spatial flexibility in routine job roles is often studied (Bloom et al., 2014; Battiston et al., 2017; Emanuel &amp; Harrington, 2022). Flexible work practices are usually introduced through individual or collective bargaining, which is legal in many countries (Hegewisch, 2009). Analysis of Italy is particularly intriguing. Despite low workplace flexibility, some Italian firms began experimenting with smart working a decade ago, but only with small groups of employees (often fewer than 10, Profeta, 2020). Only during the pandemic did smart working become popular.</w:t>
      </w:r>
    </w:p>
    <w:p w14:paraId="7BF9BB64" w14:textId="77777777" w:rsidR="00227727" w:rsidRPr="00227727" w:rsidRDefault="00227727" w:rsidP="00227727">
      <w:pPr>
        <w:pStyle w:val="NormalWeb"/>
        <w:spacing w:before="0" w:beforeAutospacing="0" w:after="0" w:afterAutospacing="0" w:line="360" w:lineRule="auto"/>
        <w:ind w:firstLine="720"/>
        <w:jc w:val="both"/>
        <w:rPr>
          <w:rFonts w:ascii="Arial" w:hAnsi="Arial" w:cs="Arial"/>
          <w:color w:val="0E101A"/>
          <w:lang w:val="en-GB"/>
        </w:rPr>
      </w:pPr>
      <w:r w:rsidRPr="00227727">
        <w:rPr>
          <w:rFonts w:ascii="Arial" w:hAnsi="Arial" w:cs="Arial"/>
          <w:color w:val="0E101A"/>
          <w:lang w:val="en-GB"/>
        </w:rPr>
        <w:t xml:space="preserve">Managerial literature has long advocated work organisation changes (Pèrez et al., 2004). Smart working, which emphasises discretionary time use and work organisation, has grown in popularity over the past decade (Torre, 2015). The global health crisis has prompted “massive” smart working adoption (Torre, 2020). Emergency conditions have revived interest in a neglected work organisation method. These developments led the authors to study smart working in teaching. Public administrations have </w:t>
      </w:r>
      <w:r w:rsidRPr="00227727">
        <w:rPr>
          <w:rFonts w:ascii="Arial" w:hAnsi="Arial" w:cs="Arial"/>
          <w:color w:val="0E101A"/>
          <w:lang w:val="en-GB"/>
        </w:rPr>
        <w:lastRenderedPageBreak/>
        <w:t>adopted smart working, an objective-oriented approach aligned with agile working (Pèrez et al., 2004; Sarti &amp; Torre, 2017; Chiaro et al., 2015). This framework allows work from restaurants, hotels, and trains, aligning with the BYOD model (Ballagas et al., 2004). This system allows employees to work in ways that suit them, focusing on results and independently scheduling work to meet job goals. Many consider smart working a progression of teleworking. However, “smart” emphasises this new modality’s potential benefits to employees and organisations. Kim et al. (2017) define smart working as “telework performed smartly and innovatively” using advanced communication technologies. This approach emphasises that workers can adapt to modern IT environments regardless of time or location (Kang &amp; Kwon, 2016). This “smart” work model helps employees “achieve maximum value” and “enhance productivity" (Fragouli &amp; Ilia, 2019) while improving "spatial and temporal flexibility" (Fogarty et al., 2011), working conditions (Kim &amp; Oh, 2015), and creativity and innovation. This study prefers Smart working over “teleworking” because it includes telecommunications and advanced technological tools, capturing a wider range of benefits.</w:t>
      </w:r>
    </w:p>
    <w:p w14:paraId="3696DEA5" w14:textId="77777777" w:rsidR="00227727" w:rsidRPr="00227727" w:rsidRDefault="00227727" w:rsidP="00227727">
      <w:pPr>
        <w:pStyle w:val="NormalWeb"/>
        <w:spacing w:before="0" w:beforeAutospacing="0" w:after="0" w:afterAutospacing="0" w:line="360" w:lineRule="auto"/>
        <w:ind w:firstLine="720"/>
        <w:jc w:val="both"/>
        <w:rPr>
          <w:rFonts w:ascii="Arial" w:hAnsi="Arial" w:cs="Arial"/>
          <w:color w:val="0E101A"/>
          <w:lang w:val="en-GB"/>
        </w:rPr>
      </w:pPr>
      <w:r w:rsidRPr="00227727">
        <w:rPr>
          <w:rFonts w:ascii="Arial" w:hAnsi="Arial" w:cs="Arial"/>
          <w:color w:val="0E101A"/>
          <w:lang w:val="en-GB"/>
        </w:rPr>
        <w:t>Smart working flexible schedules, locations, and work periods appeal to employers and employees in various fields. Smart working was typically limited to one day per week before the pandemic, but COVID-19 emergency measures often required full weeks of remote work with limited schedule flexibility. However, these findings are helpful in the post-pandemic era, when remote work has increased workweek flexibility. Smart working involves customizable schedules, locations, and work periods, going beyond telecommuting. There is no strong causal evidence to evaluate smart working.</w:t>
      </w:r>
    </w:p>
    <w:p w14:paraId="54E82865" w14:textId="77777777" w:rsidR="00227727" w:rsidRPr="00227727" w:rsidRDefault="00227727" w:rsidP="00227727">
      <w:pPr>
        <w:pStyle w:val="NormalWeb"/>
        <w:spacing w:after="0" w:afterAutospacing="0" w:line="360" w:lineRule="auto"/>
        <w:ind w:firstLine="720"/>
        <w:jc w:val="both"/>
        <w:rPr>
          <w:rFonts w:ascii="Arial" w:hAnsi="Arial" w:cs="Arial"/>
          <w:color w:val="0E101A"/>
          <w:lang w:val="en-GB"/>
        </w:rPr>
      </w:pPr>
      <w:r w:rsidRPr="00227727">
        <w:rPr>
          <w:rFonts w:ascii="Arial" w:hAnsi="Arial" w:cs="Arial"/>
          <w:color w:val="0E101A"/>
          <w:lang w:val="en-GB"/>
        </w:rPr>
        <w:t>Smarter working and flexibility are increasingly important strategies for modern organisations seeking to adapt to rapidly changing work environments. Smarter working is more than just remote working; it involves rethinking work structures, locations, technologies, and outcomes (Parker &amp; Knight, 2023; Angelici &amp; Profeta, 2024). The principle gives employees more control over how, when, and where work is done while meeting organisational objectives (Davidescu et al., 2020; Bonacci et al., 2024). Girish et al. (2022) and Oosthuizen (2019) found that when combined with flexibility, smarter working allows employees to achieve greater work-life balance, autonomy, and psychological empowerment. De Carlo et al. (2022) and Barbieri et al. (2021) found that smarter working is most effective when accompanied by digital technologies, task-oriented leadership, and a strong organisational culture prioritising trust and outcome-based performance over traditional presenteeism.</w:t>
      </w:r>
    </w:p>
    <w:p w14:paraId="69629D54" w14:textId="77777777" w:rsidR="00227727" w:rsidRPr="00227727" w:rsidRDefault="00227727" w:rsidP="00227727">
      <w:pPr>
        <w:pStyle w:val="NormalWeb"/>
        <w:spacing w:after="0" w:afterAutospacing="0" w:line="360" w:lineRule="auto"/>
        <w:ind w:firstLine="720"/>
        <w:jc w:val="both"/>
        <w:rPr>
          <w:rFonts w:ascii="Arial" w:hAnsi="Arial" w:cs="Arial"/>
          <w:color w:val="0E101A"/>
          <w:lang w:val="en-GB"/>
        </w:rPr>
      </w:pPr>
      <w:r w:rsidRPr="00227727">
        <w:rPr>
          <w:rFonts w:ascii="Arial" w:hAnsi="Arial" w:cs="Arial"/>
          <w:color w:val="0E101A"/>
          <w:lang w:val="en-GB"/>
        </w:rPr>
        <w:t xml:space="preserve">The COVID-19 pandemic served as a major catalyst for accelerating smarter working practices, demonstrating both the importance and the challenges of flexible work arrangements (Falco et al., 2023; Galanti et al., 2021). Flexibility has become an organisation's survival strategy, allowing it to continue operations despite physical constraints, as Marino and Capone (2021) and Al-Jubari et al. (2022) noted. Toscano and Zappalà (2020) and Martin et al. (2022) found that employees who perceived more organisational support for flexibility during the pandemic were more engaged, satisfied, </w:t>
      </w:r>
      <w:r w:rsidRPr="00227727">
        <w:rPr>
          <w:rFonts w:ascii="Arial" w:hAnsi="Arial" w:cs="Arial"/>
          <w:color w:val="0E101A"/>
          <w:lang w:val="en-GB"/>
        </w:rPr>
        <w:lastRenderedPageBreak/>
        <w:t>and had lower stress levels. However, unmanaged flexibility can blur the line between work and personal life, potentially increasing stress and social isolation (Barbieri et al., 2021; Di Carlo et al., 2022). As a result, studies such as Barbieri et al. (2021) highlight the importance of balancing flexibility through smarter working with structured support systems, proactive communication, and employee well-being initiatives to achieve the desired positive outcomes.</w:t>
      </w:r>
    </w:p>
    <w:p w14:paraId="073A9C46" w14:textId="77777777" w:rsidR="00227727" w:rsidRPr="00227727" w:rsidRDefault="00227727" w:rsidP="00227727">
      <w:pPr>
        <w:pStyle w:val="NormalWeb"/>
        <w:spacing w:after="0" w:afterAutospacing="0" w:line="360" w:lineRule="auto"/>
        <w:ind w:firstLine="720"/>
        <w:jc w:val="both"/>
        <w:rPr>
          <w:rFonts w:ascii="Arial" w:hAnsi="Arial" w:cs="Arial"/>
          <w:color w:val="0E101A"/>
          <w:lang w:val="en-GB"/>
        </w:rPr>
      </w:pPr>
      <w:r w:rsidRPr="00227727">
        <w:rPr>
          <w:rFonts w:ascii="Arial" w:hAnsi="Arial" w:cs="Arial"/>
          <w:color w:val="0E101A"/>
          <w:lang w:val="en-GB"/>
        </w:rPr>
        <w:t>Flexibility, a key component of smarter working, significantly improves employee motivation and performance by meeting basic psychological needs, according to Self-Determination Theory (Ryan &amp; Deci, 2000; Manganelli et al., 2018). Flexible working conditions meet employees' needs for autonomy and competence, resulting in increased intrinsic motivation, job satisfaction, and innovation (Blechman et al., 2022; Camilleri, 2021). Krause et al. (2019) and Li et al. (2021) argue that flexibility enables people to align work tasks with their rhythms and preferences, resulting in greater engagement and creativity. This viewpoint is supported by the Job Demands-Resources framework, which suggests that flexible, smarter working practices are critical resources that buffer against job demands while promoting long-term employee well-being and performance. However, researchers such as Galanakis and Tsitouri (2022) warn that flexibility without clear boundaries and organisational commitment can transform from a resource to an additional demand, emphasising the importance of deliberate flexibility design.</w:t>
      </w:r>
    </w:p>
    <w:p w14:paraId="6E89ED76" w14:textId="77777777" w:rsidR="00227727" w:rsidRPr="00227727" w:rsidRDefault="00227727" w:rsidP="00227727">
      <w:pPr>
        <w:pStyle w:val="NormalWeb"/>
        <w:spacing w:before="0" w:beforeAutospacing="0" w:after="240" w:afterAutospacing="0" w:line="360" w:lineRule="auto"/>
        <w:ind w:firstLine="720"/>
        <w:jc w:val="both"/>
        <w:rPr>
          <w:rFonts w:ascii="Arial" w:hAnsi="Arial" w:cs="Arial"/>
          <w:color w:val="0E101A"/>
          <w:lang w:val="en-GB"/>
        </w:rPr>
      </w:pPr>
      <w:r w:rsidRPr="00227727">
        <w:rPr>
          <w:rFonts w:ascii="Arial" w:hAnsi="Arial" w:cs="Arial"/>
          <w:color w:val="0E101A"/>
          <w:lang w:val="en-GB"/>
        </w:rPr>
        <w:t>According to recent research, the future of work will be characterised by smarter working models that incorporate flexibility as a core organisational value rather than an optional benefit (Galanakis &amp; Tsitouri, 2022; Parker &amp; Grote, 2022). Bonacci et al. (2024) and Barbieri et al. (2021) found that organisations that institutionalise flexibility — through formal HRM policies, leadership development, and technological investment — have higher employee satisfaction and improved organisational resilience and innovation capacity. Furthermore, Woodburn (2019) and Dunning et al. (2019) indirectly imply through transportation-related studies that physical infrastructure planning must adapt to more decentralised, flexible work patterns. Thus, smarter working and flexibility are not viewed as afterthoughts but as critical strategic levers for developing sustainable, agile, and high-performing organisations in a dynamic and frequently unpredictable global environment.</w:t>
      </w:r>
    </w:p>
    <w:p w14:paraId="3C67C55F" w14:textId="77777777" w:rsidR="00227727" w:rsidRPr="00227727" w:rsidRDefault="00227727" w:rsidP="00227727">
      <w:pPr>
        <w:pStyle w:val="Heading3"/>
        <w:rPr>
          <w:rFonts w:ascii="Arial" w:hAnsi="Arial" w:cs="Arial"/>
        </w:rPr>
      </w:pPr>
      <w:r w:rsidRPr="00227727">
        <w:rPr>
          <w:rFonts w:ascii="Arial" w:hAnsi="Arial" w:cs="Arial"/>
        </w:rPr>
        <w:t>Employees’ Wellbeing</w:t>
      </w:r>
    </w:p>
    <w:p w14:paraId="740BB0F0"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The term 'well-being' is defined in the New Oxford Advanced Learner’s Dictionary (7th ed., revised 2005) as a state of comfort, health, and happiness. Physical, psychological, and emotional health and employee happiness and comfort are all considered employee well-being. Well-being in the workplace includes physical and psychological factors (Warr, 1999). According to Ryan and Deci (2000), hedonism emphasises happiness, while eudemonism emphasises human potential. Their workplace environment and organisational practices influence employees' holistic well-being. The WHO (2013) defines employee well-being as “a state where employees can understand their capabilities, handle the typical stresses of life, work productively, and contribute meaningfully to their community.” Diverse </w:t>
      </w:r>
      <w:r w:rsidRPr="00227727">
        <w:rPr>
          <w:rFonts w:ascii="Arial" w:hAnsi="Arial" w:cs="Arial"/>
          <w:sz w:val="24"/>
          <w:szCs w:val="24"/>
        </w:rPr>
        <w:lastRenderedPageBreak/>
        <w:t>definitions have made explaining employee well-being difficult in the literature, resulting in different perspectives. Van Laar, Edwards, and Easton (2007) and Sirgy et al. (2001) define employee well-being as work-related quality of life, while Page and Vella-Brodrick (2009) examine workplace well-being and mental health. Wright and Cropanzano (2007) link employee overall well-being to psychological well-being (PWB). Sirgy (2012) also mentions “quality of working life,” “work well-being,” and “work quality of life” to describe this concept. Organisational studies are full of research on employee well-being, but their definition and scope are still debated.</w:t>
      </w:r>
    </w:p>
    <w:p w14:paraId="7F8FE8CF"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Research shows that general well-being does not accurately reflect employee well-being, which is dynamic, subjective, and multidimensional (Juniper et al., 2011; Zheng et al., 2015). In one of the most notable studies, Warr (1999) examined employees’ general and job-specific well-being. Employee well-being has two main components: context-free and domain-specific. Context-free well-being includes happiness, life satisfaction, and overall well-being. Domain-specific well-being, such as job-specific well-being, focuses on work satisfaction, like pay and relationships with co-workers. Research shows that employee well-being strongly influences workplace decisions, including job retention. It also affects worker engagement, commitment, and satisfaction (Pradhan, Dash, &amp; Jena, 2017; Sivapragasam &amp; Raya, 2017). Employee well-being also affects stress management, mental and physical health, and professional and personal satisfaction (Diener, 2000). Employee well-being benefits individuals and organisations. Companies that prioritize employee well-being achieve long-term competitive advantages (Wright, 2006). Overall, employee well-being benefits individuals and organisations.</w:t>
      </w:r>
    </w:p>
    <w:p w14:paraId="4EE3568B"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ab/>
        <w:t>The relationship between flexible practices like teleworking and smart working and employee well-being is unclear (DeMenezes &amp; Kelliher, 2011). Before the pandemic, research stressed the importance of organisations and employees understanding the pros and cons of remote working, significantly as technology and workplace flexibility increase. These studies found positive and negative effects of smarter working on organisational well-being, including affective states, social interactions, and professional life. The literature was more unanimous about the benefits of such working arrangements (Charalampous et al., 2019). In individuals, well-being can be defined as context-free (e.g., general mental health) or domain-specific (e.g., job satisfaction, work engagement) (Keyes, 2005; Taris &amp; Schaufeli, 2015; Warr, 1994). Scholars recommend considering both perspectives to understand well-being (Capone &amp; Petrillo, 2012). The domain of Well-being associations with antecedents is stronger (Warr, 1994).</w:t>
      </w:r>
    </w:p>
    <w:p w14:paraId="027BEA64" w14:textId="6ACBB68E"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 xml:space="preserve">Warr (1987) also discusses how smart working environments with low autonomy, high demands, limited social contact, and colleague support reduce well-being. Smart working requires certain conditions (Rapisarda et al., 2021). For instance, shifting from tasks to goals allows people to actively and autonomously manage their work, improving performance. Smart working requires understanding how individual </w:t>
      </w:r>
      <w:r w:rsidR="00351EFC" w:rsidRPr="00227727">
        <w:rPr>
          <w:rFonts w:ascii="Arial" w:hAnsi="Arial" w:cs="Arial"/>
          <w:sz w:val="24"/>
          <w:szCs w:val="24"/>
        </w:rPr>
        <w:t>behaviours</w:t>
      </w:r>
      <w:r w:rsidRPr="00227727">
        <w:rPr>
          <w:rFonts w:ascii="Arial" w:hAnsi="Arial" w:cs="Arial"/>
          <w:sz w:val="24"/>
          <w:szCs w:val="24"/>
        </w:rPr>
        <w:t xml:space="preserve"> affect workgroup and organisational performance (Daniels &amp; Harris, 2000). Context-free well-being illuminates employees' mental health and the impact of work on life. This approach illuminates how work affects employees holistically, beyond specific domains.</w:t>
      </w:r>
    </w:p>
    <w:p w14:paraId="66DBB446" w14:textId="77777777" w:rsidR="00227727" w:rsidRPr="00227727" w:rsidRDefault="00227727" w:rsidP="00227727">
      <w:pPr>
        <w:pStyle w:val="Heading3"/>
        <w:rPr>
          <w:rFonts w:ascii="Arial" w:hAnsi="Arial" w:cs="Arial"/>
        </w:rPr>
      </w:pPr>
      <w:r w:rsidRPr="00227727">
        <w:rPr>
          <w:rFonts w:ascii="Arial" w:hAnsi="Arial" w:cs="Arial"/>
        </w:rPr>
        <w:lastRenderedPageBreak/>
        <w:t>Employees’ Productivity and Performance</w:t>
      </w:r>
    </w:p>
    <w:p w14:paraId="159FD93F"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Human resource management (HRM) defines employee performance as the results, outcomes, and achievements regarding organisational goals. Some perform well, while others need improvement. Boakye (2015) defines employee performance as task completion for accurate and cost-effective results. According to scientific management, employee performance is measured by the number of units produced in a given period (Malkanthi &amp; Ali, 2016; Inuwa &amp; Idris, 2017). Hirlak et al. (2018) disagree with the scholars above. They define employee performance as efficiency and effectiveness in completing tasks. Other researchers define employee performance as the quality and quantity of work completed according to job descriptions (Darma &amp; Supriyanto, 2017; Setiawan et al., 2018). These perspectives demonstrate the complexity of employee performance and its importance in achieving organisational goals. According to Perry (2023), productivity is the efficiency of converting inputs into outputs, reflecting personal and organisational goals (see Figure 2.1). While personal productivity focuses on task completion and efficiency, organisational productivity emphasises the economic performance of producing goods and services relative to inputs. Productivity combines quantity, quality, and efficiency. Quality emphasises excellence in the final product, while quantity emphasises completing many tasks. Efficiency means minimising effort and resource waste during task execution. These elements overlap, showing that true productivity is doing more with precision and minimal resource use.  </w:t>
      </w:r>
    </w:p>
    <w:p w14:paraId="305DFB03" w14:textId="77777777" w:rsidR="00227727" w:rsidRPr="00227727" w:rsidRDefault="00227727" w:rsidP="00227727">
      <w:pPr>
        <w:spacing w:after="0" w:line="360" w:lineRule="auto"/>
        <w:jc w:val="center"/>
        <w:rPr>
          <w:rFonts w:ascii="Arial" w:hAnsi="Arial" w:cs="Arial"/>
          <w:sz w:val="24"/>
          <w:szCs w:val="24"/>
        </w:rPr>
      </w:pPr>
      <w:r w:rsidRPr="00227727">
        <w:rPr>
          <w:rFonts w:ascii="Arial" w:hAnsi="Arial" w:cs="Arial"/>
          <w:noProof/>
          <w:sz w:val="24"/>
          <w:szCs w:val="24"/>
        </w:rPr>
        <w:drawing>
          <wp:inline distT="0" distB="0" distL="0" distR="0" wp14:anchorId="529B181E" wp14:editId="4AF02253">
            <wp:extent cx="3688080" cy="3237385"/>
            <wp:effectExtent l="0" t="0" r="7620" b="1270"/>
            <wp:docPr id="2" name="Picture 2"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company&#10;&#10;AI-generated content may be incorrect."/>
                    <pic:cNvPicPr/>
                  </pic:nvPicPr>
                  <pic:blipFill>
                    <a:blip r:embed="rId8"/>
                    <a:stretch>
                      <a:fillRect/>
                    </a:stretch>
                  </pic:blipFill>
                  <pic:spPr>
                    <a:xfrm>
                      <a:off x="0" y="0"/>
                      <a:ext cx="3700647" cy="3248417"/>
                    </a:xfrm>
                    <a:prstGeom prst="rect">
                      <a:avLst/>
                    </a:prstGeom>
                  </pic:spPr>
                </pic:pic>
              </a:graphicData>
            </a:graphic>
          </wp:inline>
        </w:drawing>
      </w:r>
    </w:p>
    <w:p w14:paraId="2073739D" w14:textId="77777777" w:rsidR="00227727" w:rsidRPr="00227727" w:rsidRDefault="00227727" w:rsidP="00227727">
      <w:pPr>
        <w:spacing w:after="0" w:line="360" w:lineRule="auto"/>
        <w:jc w:val="center"/>
        <w:rPr>
          <w:rFonts w:ascii="Arial" w:hAnsi="Arial" w:cs="Arial"/>
          <w:sz w:val="24"/>
          <w:szCs w:val="24"/>
        </w:rPr>
      </w:pPr>
      <w:r w:rsidRPr="00227727">
        <w:rPr>
          <w:rFonts w:ascii="Arial" w:hAnsi="Arial" w:cs="Arial"/>
          <w:b/>
          <w:sz w:val="24"/>
          <w:szCs w:val="24"/>
        </w:rPr>
        <w:t>Figure 2.1.</w:t>
      </w:r>
      <w:r w:rsidRPr="00227727">
        <w:rPr>
          <w:rFonts w:ascii="Arial" w:hAnsi="Arial" w:cs="Arial"/>
          <w:sz w:val="24"/>
          <w:szCs w:val="24"/>
        </w:rPr>
        <w:t xml:space="preserve"> Employee productivity (Perry, 2023)</w:t>
      </w:r>
    </w:p>
    <w:p w14:paraId="0827197E" w14:textId="77777777" w:rsidR="00227727" w:rsidRPr="00227727" w:rsidRDefault="00227727" w:rsidP="00227727">
      <w:pPr>
        <w:spacing w:line="360" w:lineRule="auto"/>
        <w:jc w:val="center"/>
        <w:rPr>
          <w:rFonts w:ascii="Arial" w:hAnsi="Arial" w:cs="Arial"/>
          <w:sz w:val="20"/>
          <w:szCs w:val="24"/>
        </w:rPr>
      </w:pPr>
      <w:r w:rsidRPr="00227727">
        <w:rPr>
          <w:rFonts w:ascii="Arial" w:hAnsi="Arial" w:cs="Arial"/>
          <w:b/>
          <w:sz w:val="20"/>
          <w:szCs w:val="24"/>
        </w:rPr>
        <w:t xml:space="preserve">Source: </w:t>
      </w:r>
      <w:r w:rsidRPr="00227727">
        <w:rPr>
          <w:rFonts w:ascii="Arial" w:hAnsi="Arial" w:cs="Arial"/>
          <w:sz w:val="20"/>
          <w:szCs w:val="24"/>
        </w:rPr>
        <w:t>https://www.betterup.com/blog/what-is-productivity</w:t>
      </w:r>
    </w:p>
    <w:p w14:paraId="5F09A6E0"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Due to the dynamics and uncertainties within the economy, organisations are continuously seeking out improved workplace conditions and culture that can boost employee productivity and performance. Stakeholders are also more persistent on seeing organisational change in terms of employee empowerment, higher mobility, inclusive culture, higher flexibility, and a higher innovative drive among the workforces (</w:t>
      </w:r>
      <w:r w:rsidRPr="00227727">
        <w:rPr>
          <w:rFonts w:ascii="Arial" w:hAnsi="Arial" w:cs="Arial"/>
          <w:color w:val="222222"/>
          <w:sz w:val="24"/>
          <w:szCs w:val="24"/>
          <w:shd w:val="clear" w:color="auto" w:fill="FFFFFF"/>
        </w:rPr>
        <w:t xml:space="preserve">Angelici &amp; Profeta, 2024; </w:t>
      </w:r>
      <w:r w:rsidRPr="00227727">
        <w:rPr>
          <w:rFonts w:ascii="Arial" w:hAnsi="Arial" w:cs="Arial"/>
          <w:sz w:val="24"/>
          <w:szCs w:val="24"/>
        </w:rPr>
        <w:t xml:space="preserve">Choudhury et al., 2021). In order to do so, </w:t>
      </w:r>
      <w:r w:rsidRPr="00227727">
        <w:rPr>
          <w:rFonts w:ascii="Arial" w:hAnsi="Arial" w:cs="Arial"/>
          <w:sz w:val="24"/>
          <w:szCs w:val="24"/>
        </w:rPr>
        <w:lastRenderedPageBreak/>
        <w:t xml:space="preserve">organisations have acclaimed the importance of internal day to day business processes and structures that have now been changed according to the needs of the employees and requirements of its stakeholders. One of the emerging organisational cultures is ‘Smart Work’ or ‘Smarter Working’ (Plantronics, 2014). Smarter Working allows employees to break off the traditional working system and motivate their inner innovative drive. As firms continue to leverage their employees as their competitive edge, they are increasingly giving employees full autonomy to take decisions regarding their own tasks in terms of flexibility, processes and operations that not only benefits the employees’ well-being but also improves their job performance (Raguseo, et al., 2016). This can be contextualised through the efforts of the United Kingdom taken to implement smarter working conditions within their civil service. The public sector has been revamped to adapt smarter working since it allows each individual to work the way they want saving on time, technology and space therefore, optimising the amount of money generated through taxes. </w:t>
      </w:r>
    </w:p>
    <w:p w14:paraId="1053D0BF"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Through technology, a digital workspace has been created that allows employees to work from anywhere, at any time and however they want, empowering them to enabling them to be more accountable and responsible for each of their decisions. In order to implement smarter working, different strategies have also been initiated by the government of UK such as improving the infrastructure to incorporate collaborative workspace designs, enabling work from home since the increase in productivity after the covid-19 pandemic and providing digital workspaces that can instantly connect all of the employees together despite being at different places and in different time zones (Civil Service, 2020). Simultaneously, the organisations information technology department also improves as the firm continues to invest in technologies that can support the need of data for its employees that allows them to collaborate, interact and discuss seamlessly. Similarly, HR practices are so devised that employees gain full freedom regarding how and when they do their work thus, making them more productive and accountable towards their job. Training programmes, cultural changes, and an innovative drive, revamps the entire workforce along with the organisation. It also helps organisations breakout from the traditional spatial layout of an office and go beyond geographical boundaries, enlisting a diverse workforce to its name (Raguseo, et al., 2016). </w:t>
      </w:r>
    </w:p>
    <w:p w14:paraId="7A7BDC0A"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 xml:space="preserve">Previously, management studies have been analysed in detail, in order to improve the productivity of the workplace. However, only limited research has been carried out to assert the specific effect of workplace conditions over the performance of the employees, and that too, only concentrated on the private sector. Smarter Working can also be termed as a flexible working environment for the workforce that does not only limit itself to achieving company objectives, but also improves employee wellbeing. On the other hand, as the working environment of an organisation is devised based on the organisational culture, employees and the management, the effect can be very well mediated by the dark side of HRM practices. This can be explained through the difference in effectiveness of the control-oriented and commitment oriented HRM practices. Commitment oriented systems highly engaged employees within the system, therefore, outperform the systems where they are controlled and not provided any autonomy (Hauff, et al., 2014). The flexibility offered by smarter working improves </w:t>
      </w:r>
      <w:r w:rsidRPr="00227727">
        <w:rPr>
          <w:rFonts w:ascii="Arial" w:hAnsi="Arial" w:cs="Arial"/>
          <w:sz w:val="24"/>
          <w:szCs w:val="24"/>
        </w:rPr>
        <w:lastRenderedPageBreak/>
        <w:t>employee well-being as well, which in return has a positive impact over each employee’s individual job performance. Hence, even employee well-being may also act as a mediator between flexible working conditions and job performance (Angelici &amp; Profeta, 2020). Bryson and White (2021) have studied similar variables within the context of the public sector and have concluded a positive relation between high performance work systems and organisational performance. The literature review therefore aims to provide support for all of these distinct yet interrelated relations through a mediating model, divided into three parts: smarter working and job performance, employee wellbeing and job performance, and smarter working and employee wellbeing to further probe into the United Kingdom’s (UK) public sector. Another area of focus is employee’s negative wellbeing, such as loneliness, anxiety, stress, and work intensification.</w:t>
      </w:r>
    </w:p>
    <w:p w14:paraId="7CB575B9" w14:textId="77777777" w:rsidR="00227727" w:rsidRPr="00227727" w:rsidRDefault="00227727" w:rsidP="00227727">
      <w:pPr>
        <w:pStyle w:val="Heading3"/>
        <w:rPr>
          <w:rFonts w:ascii="Arial" w:hAnsi="Arial" w:cs="Arial"/>
        </w:rPr>
      </w:pPr>
      <w:r w:rsidRPr="00227727">
        <w:rPr>
          <w:rFonts w:ascii="Arial" w:hAnsi="Arial" w:cs="Arial"/>
        </w:rPr>
        <w:t>Employees’ Job Satisfaction</w:t>
      </w:r>
    </w:p>
    <w:p w14:paraId="5872316B"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Job satisfaction affects productivity, motivation, performance, and life satisfaction (Abuhashesh et al., 2019). Beyond work, this relationship affects employees’ personal lives. It is essential to organisational security. Satisfied workers are more productive, feel more secure about their futures, and are happier. Therefore, job satisfaction is essential to workplace safety and stability (Wolniak &amp; Olkiewicz, 2019; Niciejewska, 2017). Job satisfaction is the feeling of accomplishment and success employees feel at work. Job satisfaction is linked to productivity, work performance, and personal well-being. It represents doing work one enjoys, doing it well, and being rewarded for it (Kaliski, 2007; Aziri, 2011). Employees may also have different views on their tasks, co-workers, supervisors, and pay (George &amp; Jones, 2008). Leadership and motivational styles affect job performance and satisfaction differently for each employee. Job satisfaction motivates employees to perform well (Raziq &amp; Maulabakhsh, 2015).</w:t>
      </w:r>
    </w:p>
    <w:p w14:paraId="2FDEAF69"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Job satisfaction drives efficiency and effectiveness in organisational success. Recognition of employees as individuals with unique needs and personal goals is crucial to modern managerial philosophies, as is job satisfaction. A satisfied employee is often happy, and happiness at work is often linked to success and performance (Aziri, 2011). In addition, Wexley and Youkl (1984) define job satisfaction as employee feelings and attitudes toward work. Herzberg et al. (1959) identified “motivators” for job satisfaction. Achievement, recognition, work, and responsibilities motivate. By focusing on these factors, companies can boost employee happiness. Research indicates a strong correlation between employee satisfaction and organisational success (Pietroń-Pyszczek, 2010). Many studies have found that job satisfaction affects work commitment and effectiveness (Shepherd &amp; Mathews, 2000). Yalabik et al. (2013) show how job satisfaction increases work commitment and performance.</w:t>
      </w:r>
    </w:p>
    <w:p w14:paraId="0CFC2B4F" w14:textId="13B5A7F2"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Employee motivation and job satisfaction have been extensively studied using need-based, reinforcement, and process theories. However, defining “employee motivation” is difficult. Motivation and job satisfaction are linked, and any company’s success depends on them. However, motivation and job satisfaction are often confused (</w:t>
      </w:r>
      <w:r w:rsidRPr="00227727">
        <w:rPr>
          <w:rFonts w:ascii="Arial" w:hAnsi="Arial" w:cs="Arial"/>
          <w:color w:val="222222"/>
          <w:sz w:val="24"/>
          <w:szCs w:val="20"/>
          <w:shd w:val="clear" w:color="auto" w:fill="FFFFFF"/>
        </w:rPr>
        <w:t>Sappara et al., 2023</w:t>
      </w:r>
      <w:r w:rsidRPr="00227727">
        <w:rPr>
          <w:rFonts w:ascii="Arial" w:hAnsi="Arial" w:cs="Arial"/>
          <w:sz w:val="24"/>
          <w:szCs w:val="24"/>
        </w:rPr>
        <w:t xml:space="preserve">). Motivation and job satisfaction are related but distinct. According to </w:t>
      </w:r>
      <w:r w:rsidRPr="00227727">
        <w:rPr>
          <w:rFonts w:ascii="Arial" w:hAnsi="Arial" w:cs="Arial"/>
          <w:color w:val="222222"/>
          <w:sz w:val="24"/>
          <w:szCs w:val="20"/>
          <w:shd w:val="clear" w:color="auto" w:fill="FFFFFF"/>
        </w:rPr>
        <w:t>Sappara et al. (2023</w:t>
      </w:r>
      <w:r w:rsidRPr="00227727">
        <w:rPr>
          <w:rFonts w:ascii="Arial" w:hAnsi="Arial" w:cs="Arial"/>
          <w:sz w:val="24"/>
          <w:szCs w:val="24"/>
        </w:rPr>
        <w:t xml:space="preserve">), job satisfaction is part of motivation. Motivation </w:t>
      </w:r>
      <w:r w:rsidRPr="00227727">
        <w:rPr>
          <w:rFonts w:ascii="Arial" w:hAnsi="Arial" w:cs="Arial"/>
          <w:sz w:val="24"/>
          <w:szCs w:val="24"/>
        </w:rPr>
        <w:lastRenderedPageBreak/>
        <w:t>emphasises goal-oriented behavio</w:t>
      </w:r>
      <w:r w:rsidR="00351EFC">
        <w:rPr>
          <w:rFonts w:ascii="Arial" w:hAnsi="Arial" w:cs="Arial"/>
          <w:sz w:val="24"/>
          <w:szCs w:val="24"/>
        </w:rPr>
        <w:t>u</w:t>
      </w:r>
      <w:r w:rsidRPr="00227727">
        <w:rPr>
          <w:rFonts w:ascii="Arial" w:hAnsi="Arial" w:cs="Arial"/>
          <w:sz w:val="24"/>
          <w:szCs w:val="24"/>
        </w:rPr>
        <w:t>r, while job satisfaction comes from rewards and work-related activities (Anwar, 2017). Employees can enjoy their work but lack motivation (Ha et al., 2020). HR management relies on compensation and rewards. Employee commitment and retention depend on an organisation’s compensation system. Employers can retain employees by offering competitive compensation (Anwar &amp; Qadir, 2017). Competitive, market-aligned salaries and benefits motivate employees to stay with the company, boosting retention. Employees are more likely to stay where their skills and efforts are valued. Poor rewards can cause employee turnover (Febrianti &amp; Se, 2020).</w:t>
      </w:r>
    </w:p>
    <w:p w14:paraId="41163936"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Industrial and organisational psychologists study job satisfaction. Some people enjoy their jobs, while others hate them and do them only because they have to. Job satisfaction is one of the most studied topics in organisational behaviour (Anwar, 2017). Job satisfaction impacts employees and organisations, so understanding it is crucial. Fair treatment at work boosts employee satisfaction, improving worker performance and business outcomes (Smith et al., 2020). Employee satisfaction is thought to boost retention and productivity. Employee satisfaction boosts productivity, responsiveness, quality, and service recognition. Quality of supervision, intrinsic and extrinsic factors, and workplace social relationships affect job satisfaction. Success or failure in work also affects employee satisfaction. Motivated, committed, and satisfied workers are more likely to contribute to organisational success (Paais &amp; Pattiruhu, 2020). Research has found that career advancement, job influence, teamwork, and job challenges affect job satisfaction (Riyadi, 2020).</w:t>
      </w:r>
    </w:p>
    <w:p w14:paraId="0C9D9959" w14:textId="77777777" w:rsidR="00227727" w:rsidRPr="00227727" w:rsidRDefault="00227727" w:rsidP="00227727">
      <w:pPr>
        <w:pStyle w:val="Heading3"/>
        <w:rPr>
          <w:rFonts w:ascii="Arial" w:hAnsi="Arial" w:cs="Arial"/>
        </w:rPr>
      </w:pPr>
      <w:r w:rsidRPr="00227727">
        <w:rPr>
          <w:rFonts w:ascii="Arial" w:hAnsi="Arial" w:cs="Arial"/>
        </w:rPr>
        <w:t>Employees’ Stress</w:t>
      </w:r>
    </w:p>
    <w:p w14:paraId="15109ED0" w14:textId="77777777" w:rsidR="00227727" w:rsidRPr="00227727" w:rsidRDefault="00227727" w:rsidP="00227727">
      <w:pPr>
        <w:pStyle w:val="NormalWeb"/>
        <w:spacing w:before="0" w:beforeAutospacing="0" w:after="0" w:afterAutospacing="0" w:line="360" w:lineRule="auto"/>
        <w:jc w:val="both"/>
        <w:rPr>
          <w:rFonts w:ascii="Arial" w:hAnsi="Arial" w:cs="Arial"/>
          <w:color w:val="0E101A"/>
          <w:lang w:val="en-GB"/>
        </w:rPr>
      </w:pPr>
      <w:r w:rsidRPr="00227727">
        <w:rPr>
          <w:rFonts w:ascii="Arial" w:hAnsi="Arial" w:cs="Arial"/>
          <w:color w:val="0E101A"/>
          <w:lang w:val="en-GB"/>
        </w:rPr>
        <w:t xml:space="preserve">Stress is “a negative reaction toward events perceived to tax or exceed an individual's coping abilities” (Jehangir et al., 2011, </w:t>
      </w:r>
      <w:r w:rsidRPr="00227727">
        <w:rPr>
          <w:rStyle w:val="Emphasis"/>
          <w:rFonts w:ascii="Arial" w:eastAsiaTheme="majorEastAsia" w:hAnsi="Arial" w:cs="Arial"/>
          <w:color w:val="0E101A"/>
          <w:lang w:val="en-GB"/>
        </w:rPr>
        <w:t>p.</w:t>
      </w:r>
      <w:r w:rsidRPr="00227727">
        <w:rPr>
          <w:rFonts w:ascii="Arial" w:hAnsi="Arial" w:cs="Arial"/>
          <w:color w:val="0E101A"/>
          <w:lang w:val="en-GB"/>
        </w:rPr>
        <w:t xml:space="preserve"> 455). Job stress is “the harmful physical and emotional responses that occur when the demands of a job exceed the worker's capabilities, resources, or needs” (Al Makhaita et al., 2014, </w:t>
      </w:r>
      <w:r w:rsidRPr="00227727">
        <w:rPr>
          <w:rFonts w:ascii="Arial" w:hAnsi="Arial" w:cs="Arial"/>
          <w:i/>
          <w:color w:val="0E101A"/>
          <w:lang w:val="en-GB"/>
        </w:rPr>
        <w:t>p.</w:t>
      </w:r>
      <w:r w:rsidRPr="00227727">
        <w:rPr>
          <w:rFonts w:ascii="Arial" w:hAnsi="Arial" w:cs="Arial"/>
          <w:color w:val="0E101A"/>
          <w:lang w:val="en-GB"/>
        </w:rPr>
        <w:t xml:space="preserve"> 79). The pioneer of stress research, Dr. Hans Selye, defined stress 50 years ago as a non-specific physiological response to external demands (Jehangir et al., 2011). Stress is also “the psychological strain or distress resulting from exposure to unusual or challenging situations, referred to as stressors” (Finney et al., 2013, p. 2). Job stress is “a psychological state perceived by individuals when faced with demands, constraints, and opportunities with important yet uncertain outcomes” (Yozgot et al., 2013, </w:t>
      </w:r>
      <w:r w:rsidRPr="00227727">
        <w:rPr>
          <w:rFonts w:ascii="Arial" w:hAnsi="Arial" w:cs="Arial"/>
          <w:i/>
          <w:color w:val="0E101A"/>
          <w:lang w:val="en-GB"/>
        </w:rPr>
        <w:t>p.</w:t>
      </w:r>
      <w:r w:rsidRPr="00227727">
        <w:rPr>
          <w:rFonts w:ascii="Arial" w:hAnsi="Arial" w:cs="Arial"/>
          <w:color w:val="0E101A"/>
          <w:lang w:val="en-GB"/>
        </w:rPr>
        <w:t xml:space="preserve"> 519). Stress is inevitable, whether caused by personal, work, or environmental factors (Al-Khasawneh &amp; Futa, 2013). Hospital work hours, unpleasant disturbances, unexpected transitions between high-intensity and routine tasks, time constraints, lack of opportunities, and other challenges can cause workplace stress (Jehangir et al., 2011). Both employees and management experience stress (Al-Khasawneh &amp; Futa, 2013). According to Beehr and Newman (1978), job stress is “a situation arising from individuals' reactions to their tasks, resulting in changes that compel them to adapt and cope, often disrupting their usual performance” (Jehangir et al., 2011, </w:t>
      </w:r>
      <w:r w:rsidRPr="00227727">
        <w:rPr>
          <w:rFonts w:ascii="Arial" w:hAnsi="Arial" w:cs="Arial"/>
          <w:i/>
          <w:color w:val="0E101A"/>
          <w:lang w:val="en-GB"/>
        </w:rPr>
        <w:t>p.</w:t>
      </w:r>
      <w:r w:rsidRPr="00227727">
        <w:rPr>
          <w:rFonts w:ascii="Arial" w:hAnsi="Arial" w:cs="Arial"/>
          <w:color w:val="0E101A"/>
          <w:lang w:val="en-GB"/>
        </w:rPr>
        <w:t xml:space="preserve"> 454).</w:t>
      </w:r>
    </w:p>
    <w:p w14:paraId="39A93CDF" w14:textId="2427535C" w:rsidR="00227727" w:rsidRPr="00227727" w:rsidRDefault="00227727" w:rsidP="00227727">
      <w:pPr>
        <w:pStyle w:val="NormalWeb"/>
        <w:spacing w:before="0" w:beforeAutospacing="0" w:after="0" w:afterAutospacing="0" w:line="360" w:lineRule="auto"/>
        <w:ind w:firstLine="720"/>
        <w:jc w:val="both"/>
        <w:rPr>
          <w:rFonts w:ascii="Arial" w:hAnsi="Arial" w:cs="Arial"/>
          <w:color w:val="0E101A"/>
          <w:lang w:val="en-GB"/>
        </w:rPr>
      </w:pPr>
      <w:r w:rsidRPr="00227727">
        <w:rPr>
          <w:rFonts w:ascii="Arial" w:hAnsi="Arial" w:cs="Arial"/>
          <w:color w:val="0E101A"/>
          <w:lang w:val="en-GB"/>
        </w:rPr>
        <w:t xml:space="preserve">Despite being employed, nearly half of US workers struggle to balance work and life (Amazue &amp; Onyishi, 2016). Workplace stress affects work-life conflict more than home-related stress in Europe (Amazue &amp; Onyishi, 2016). In Saudi Arabia, 45.5% of nurses reported job-related stress, compared to </w:t>
      </w:r>
      <w:r w:rsidRPr="00227727">
        <w:rPr>
          <w:rFonts w:ascii="Arial" w:hAnsi="Arial" w:cs="Arial"/>
          <w:color w:val="0E101A"/>
          <w:lang w:val="en-GB"/>
        </w:rPr>
        <w:lastRenderedPageBreak/>
        <w:t>30% in Jordan (Al-Hawajreh, 2011; Al Makhaita et al., 2014). Another study on Australian and German doctors found that long hours increase stress (Mache, 2012). Chronic stress can cause physical illnesses, mental health disorders like anxiety and depression, substance abuse, suicidal tendencies, and aggressive behavio</w:t>
      </w:r>
      <w:r w:rsidR="00351EFC">
        <w:rPr>
          <w:rFonts w:ascii="Arial" w:hAnsi="Arial" w:cs="Arial"/>
          <w:color w:val="0E101A"/>
          <w:lang w:val="en-GB"/>
        </w:rPr>
        <w:t>u</w:t>
      </w:r>
      <w:r w:rsidRPr="00227727">
        <w:rPr>
          <w:rFonts w:ascii="Arial" w:hAnsi="Arial" w:cs="Arial"/>
          <w:color w:val="0E101A"/>
          <w:lang w:val="en-GB"/>
        </w:rPr>
        <w:t>r (Mache, 2012). An imbalance between job demands and an individual’s ability to meet them causes job stress (Suifan et al., 2016; Jamal, 2016). Parker and Decotis (1983) identified six stressors: job characteristics and conditions, organisational structure and climate, information flow, role-related factors, workplace relationships, perceived career development opportunities, and external commitments and responsibilities.</w:t>
      </w:r>
    </w:p>
    <w:p w14:paraId="2C911067" w14:textId="77777777" w:rsidR="00227727" w:rsidRPr="00227727" w:rsidRDefault="00227727" w:rsidP="00227727">
      <w:pPr>
        <w:pStyle w:val="NormalWeb"/>
        <w:spacing w:before="0" w:beforeAutospacing="0" w:after="240" w:afterAutospacing="0" w:line="360" w:lineRule="auto"/>
        <w:ind w:firstLine="720"/>
        <w:jc w:val="both"/>
        <w:rPr>
          <w:rFonts w:ascii="Arial" w:hAnsi="Arial" w:cs="Arial"/>
          <w:color w:val="0E101A"/>
          <w:lang w:val="en-GB"/>
        </w:rPr>
      </w:pPr>
      <w:r w:rsidRPr="00227727">
        <w:rPr>
          <w:rFonts w:ascii="Arial" w:hAnsi="Arial" w:cs="Arial"/>
          <w:color w:val="0E101A"/>
          <w:lang w:val="en-GB"/>
        </w:rPr>
        <w:t>Work overload can drain energy, time, and effort, making employees reluctant to come to work. Positive workplace relationships are essential for employee and organisational well-being (Suifan et al., 2017; Lai et al., 2015). Organisational structure and climate significantly affect workplace satisfaction and stress (Lai et al., 2015). Job stress can cause medical errors, negligence, and patient safety issues in healthcare providers, resulting in lower-quality care.</w:t>
      </w:r>
    </w:p>
    <w:p w14:paraId="542F0DA4" w14:textId="77777777" w:rsidR="00227727" w:rsidRPr="00227727" w:rsidRDefault="00227727" w:rsidP="00227727">
      <w:pPr>
        <w:pStyle w:val="NormalWeb"/>
        <w:spacing w:before="0" w:beforeAutospacing="0" w:after="0" w:afterAutospacing="0" w:line="360" w:lineRule="auto"/>
        <w:jc w:val="both"/>
        <w:rPr>
          <w:rFonts w:ascii="Arial" w:hAnsi="Arial" w:cs="Arial"/>
          <w:color w:val="50637D" w:themeColor="text2" w:themeTint="E6"/>
          <w:sz w:val="28"/>
          <w:lang w:val="en-GB"/>
        </w:rPr>
      </w:pPr>
      <w:r w:rsidRPr="00227727">
        <w:rPr>
          <w:rFonts w:ascii="Arial" w:hAnsi="Arial" w:cs="Arial"/>
          <w:color w:val="50637D" w:themeColor="text2" w:themeTint="E6"/>
          <w:sz w:val="28"/>
          <w:lang w:val="en-GB"/>
        </w:rPr>
        <w:t>Summary of Literature Review</w:t>
      </w:r>
    </w:p>
    <w:p w14:paraId="2C2B3EB2" w14:textId="77777777" w:rsidR="00227727" w:rsidRPr="00227727" w:rsidRDefault="00227727" w:rsidP="00227727">
      <w:pPr>
        <w:pStyle w:val="NormalWeb"/>
        <w:spacing w:before="0" w:beforeAutospacing="0" w:after="0" w:afterAutospacing="0" w:line="360" w:lineRule="auto"/>
        <w:jc w:val="both"/>
        <w:rPr>
          <w:rFonts w:ascii="Arial" w:hAnsi="Arial" w:cs="Arial"/>
          <w:lang w:val="en-GB"/>
        </w:rPr>
      </w:pPr>
      <w:r w:rsidRPr="00227727">
        <w:rPr>
          <w:rFonts w:ascii="Arial" w:hAnsi="Arial" w:cs="Arial"/>
          <w:lang w:val="en-GB"/>
        </w:rPr>
        <w:t>The reviewed literature extensively acknowledges that smarter working—defined by flexibility, autonomy, and technological integration—can significantly improve employee performance outcomes (Yunus et al., 2023; Parker &amp; Knight, 2023; Angelici &amp; Profeta, 2024). Studies based on the JD-R and SDT frameworks (Bakker &amp; Demerouti, 2017; Ryan &amp; Deci, 2000) show that smarter working increases employees' resource reservoirs, allowing them to manage demands better and thus improve job performance. However, despite widespread agreement on the positive relationship between flexible working and performance, few studies (such as Yunus et al., 2023; Dicke et al., 2017) have examined this relationship in public sector organisations, where bureaucratic structures and rigid cultures may influence outcomes. RQ1 thus fills a significant literature gap by contextualising how smarter working, which has traditionally been studied in the private sector, affects job performance in public entities under different administrative and cultural constraints.</w:t>
      </w:r>
    </w:p>
    <w:p w14:paraId="1210FEA5" w14:textId="77777777" w:rsidR="00227727" w:rsidRPr="00227727" w:rsidRDefault="00227727" w:rsidP="00227727">
      <w:pPr>
        <w:pStyle w:val="NormalWeb"/>
        <w:spacing w:before="0" w:beforeAutospacing="0" w:after="0" w:afterAutospacing="0" w:line="360" w:lineRule="auto"/>
        <w:ind w:firstLine="720"/>
        <w:jc w:val="both"/>
        <w:rPr>
          <w:rFonts w:ascii="Arial" w:hAnsi="Arial" w:cs="Arial"/>
          <w:lang w:val="en-GB"/>
        </w:rPr>
      </w:pPr>
      <w:r w:rsidRPr="00227727">
        <w:rPr>
          <w:rFonts w:ascii="Arial" w:hAnsi="Arial" w:cs="Arial"/>
          <w:lang w:val="en-GB"/>
        </w:rPr>
        <w:t>The literature on the psychological effects of smarter working (Falco et al., 2023; Marino &amp; Capone, 2021) yields mixed results: while flexibility frequently improves satisfaction and autonomy (Camilleri, 2021; Blechman et al., 2022), it can also contribute to technostress and blurred work-life boundaries if not managed carefully (Barbieri et al., 2021; Di Carlo et al., 2022). Galanakis and Tsitouri (2022) warn that when flexibility is not structured correctly, smarter working can transition from a resource to an additional demand, increasing job stress. However, much of this research has been cross-sectoral or focused on private settings during COVID-19. There is limited sector-specific evidence on how smarter working practices simultaneously affect job satisfaction and job stress, particularly in public sectors marked by traditionalism and strict hierarchies. RQ2 aims to achieve this dual outcome by measuring both the positive (satisfaction) and negative (stress) effects of smarter working practices in a public sector framework, an area that is still underexplored in the literature.</w:t>
      </w:r>
    </w:p>
    <w:p w14:paraId="3105BA76" w14:textId="77777777" w:rsidR="00227727" w:rsidRPr="00227727" w:rsidRDefault="00227727" w:rsidP="00227727">
      <w:pPr>
        <w:pStyle w:val="NormalWeb"/>
        <w:spacing w:before="0" w:beforeAutospacing="0" w:after="240" w:afterAutospacing="0" w:line="360" w:lineRule="auto"/>
        <w:ind w:firstLine="720"/>
        <w:jc w:val="both"/>
        <w:rPr>
          <w:rFonts w:ascii="Arial" w:hAnsi="Arial" w:cs="Arial"/>
          <w:lang w:val="en-GB"/>
        </w:rPr>
      </w:pPr>
      <w:r w:rsidRPr="00227727">
        <w:rPr>
          <w:rFonts w:ascii="Arial" w:hAnsi="Arial" w:cs="Arial"/>
          <w:lang w:val="en-GB"/>
        </w:rPr>
        <w:lastRenderedPageBreak/>
        <w:t>Employee wellbeing mediates smarter working and job performance, according to the JD-R model (Bakker &amp; Demerouti, 2017) and SDT (Ryan &amp; Deci, 2000), which emphasise that increased psychological resources improve performance. According to Manganelli et al. (2018) and Yunus et al. (2023), employee wellbeing is an important link between flexible working conditions and long-term job outcomes. However, empirical tests of this complete mediation pathway, particularly within smarter working frameworks and public organisations, are limited, resulting in a gap addressed by RQ3. Furthermore, research by Li et al. (2023) and Tummers and Bakker (2021) emphasises that HRM practices (e.g., leadership support and resource provision) have a significant impact on the success of smarter working initiatives. Despite this recognition, few studies have statistically tested HRM practices as moderators of smarter working's effects on employee psychological wellbeing, especially in the public sector, where formal policies frequently dictate flexibility implementation. As a result, RQ4 aims to close this gap by evaluating how supportive or constraining HRM environments influence the success of smarter working practices in protecting or improving employee wellbeing.</w:t>
      </w:r>
    </w:p>
    <w:p w14:paraId="43CF1563" w14:textId="77777777" w:rsidR="00227727" w:rsidRPr="00227727" w:rsidRDefault="00227727" w:rsidP="00227727">
      <w:pPr>
        <w:pStyle w:val="NormalWeb"/>
        <w:spacing w:before="0" w:beforeAutospacing="0" w:after="0" w:afterAutospacing="0" w:line="360" w:lineRule="auto"/>
        <w:jc w:val="both"/>
        <w:rPr>
          <w:rFonts w:ascii="Arial" w:hAnsi="Arial" w:cs="Arial"/>
          <w:color w:val="0E101A"/>
          <w:lang w:val="en-GB"/>
        </w:rPr>
      </w:pPr>
      <w:r w:rsidRPr="00227727">
        <w:rPr>
          <w:rFonts w:ascii="Arial" w:hAnsi="Arial" w:cs="Arial"/>
          <w:b/>
          <w:color w:val="0E101A"/>
          <w:lang w:val="en-GB"/>
        </w:rPr>
        <w:t>Table 2.1.</w:t>
      </w:r>
      <w:r w:rsidRPr="00227727">
        <w:rPr>
          <w:rFonts w:ascii="Arial" w:hAnsi="Arial" w:cs="Arial"/>
          <w:color w:val="0E101A"/>
          <w:lang w:val="en-GB"/>
        </w:rPr>
        <w:t xml:space="preserve"> Summary of Literature Review</w:t>
      </w:r>
    </w:p>
    <w:tbl>
      <w:tblPr>
        <w:tblStyle w:val="ListTable6Colourfu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5090"/>
        <w:gridCol w:w="1901"/>
        <w:gridCol w:w="1909"/>
        <w:gridCol w:w="1856"/>
      </w:tblGrid>
      <w:tr w:rsidR="00227727" w:rsidRPr="00227727" w14:paraId="435E0C37" w14:textId="77777777" w:rsidTr="00227727">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hideMark/>
          </w:tcPr>
          <w:p w14:paraId="7A744C9B" w14:textId="77777777" w:rsidR="00227727" w:rsidRPr="00227727" w:rsidRDefault="00227727" w:rsidP="00E772F3">
            <w:pPr>
              <w:spacing w:line="360" w:lineRule="auto"/>
              <w:rPr>
                <w:rFonts w:ascii="Arial" w:hAnsi="Arial" w:cs="Arial"/>
                <w:sz w:val="22"/>
              </w:rPr>
            </w:pPr>
            <w:r w:rsidRPr="00227727">
              <w:rPr>
                <w:rFonts w:ascii="Arial" w:hAnsi="Arial" w:cs="Arial"/>
                <w:bCs w:val="0"/>
                <w:sz w:val="22"/>
              </w:rPr>
              <w:t>Sources</w:t>
            </w:r>
          </w:p>
        </w:tc>
        <w:tc>
          <w:tcPr>
            <w:tcW w:w="0" w:type="auto"/>
            <w:tcBorders>
              <w:bottom w:val="none" w:sz="0" w:space="0" w:color="auto"/>
            </w:tcBorders>
            <w:hideMark/>
          </w:tcPr>
          <w:p w14:paraId="5AABC7C0" w14:textId="77777777" w:rsidR="00227727" w:rsidRPr="00227727" w:rsidRDefault="00227727" w:rsidP="00E772F3">
            <w:pPr>
              <w:spacing w:line="360" w:lineRule="auto"/>
              <w:jc w:val="center"/>
              <w:rPr>
                <w:rFonts w:ascii="Arial" w:hAnsi="Arial" w:cs="Arial"/>
                <w:bCs w:val="0"/>
                <w:sz w:val="22"/>
              </w:rPr>
            </w:pPr>
            <w:r w:rsidRPr="00227727">
              <w:rPr>
                <w:rFonts w:ascii="Arial" w:hAnsi="Arial" w:cs="Arial"/>
                <w:bCs w:val="0"/>
                <w:sz w:val="22"/>
              </w:rPr>
              <w:t>Research Variables</w:t>
            </w:r>
          </w:p>
        </w:tc>
        <w:tc>
          <w:tcPr>
            <w:tcW w:w="0" w:type="auto"/>
            <w:tcBorders>
              <w:bottom w:val="none" w:sz="0" w:space="0" w:color="auto"/>
            </w:tcBorders>
            <w:hideMark/>
          </w:tcPr>
          <w:p w14:paraId="0B1AEABE" w14:textId="77777777" w:rsidR="00227727" w:rsidRPr="00227727" w:rsidRDefault="00227727" w:rsidP="00E772F3">
            <w:pPr>
              <w:spacing w:line="360" w:lineRule="auto"/>
              <w:jc w:val="center"/>
              <w:rPr>
                <w:rFonts w:ascii="Arial" w:hAnsi="Arial" w:cs="Arial"/>
                <w:bCs w:val="0"/>
                <w:sz w:val="22"/>
              </w:rPr>
            </w:pPr>
            <w:r w:rsidRPr="00227727">
              <w:rPr>
                <w:rFonts w:ascii="Arial" w:hAnsi="Arial" w:cs="Arial"/>
                <w:bCs w:val="0"/>
                <w:sz w:val="22"/>
              </w:rPr>
              <w:t>Research Gaps</w:t>
            </w:r>
          </w:p>
        </w:tc>
        <w:tc>
          <w:tcPr>
            <w:tcW w:w="0" w:type="auto"/>
            <w:tcBorders>
              <w:bottom w:val="none" w:sz="0" w:space="0" w:color="auto"/>
            </w:tcBorders>
            <w:hideMark/>
          </w:tcPr>
          <w:p w14:paraId="22AC3445" w14:textId="77777777" w:rsidR="00227727" w:rsidRPr="00227727" w:rsidRDefault="00227727" w:rsidP="00E772F3">
            <w:pPr>
              <w:spacing w:line="360" w:lineRule="auto"/>
              <w:jc w:val="center"/>
              <w:rPr>
                <w:rFonts w:ascii="Arial" w:hAnsi="Arial" w:cs="Arial"/>
                <w:bCs w:val="0"/>
                <w:sz w:val="22"/>
              </w:rPr>
            </w:pPr>
            <w:r w:rsidRPr="00227727">
              <w:rPr>
                <w:rFonts w:ascii="Arial" w:hAnsi="Arial" w:cs="Arial"/>
                <w:bCs w:val="0"/>
                <w:sz w:val="22"/>
              </w:rPr>
              <w:t>Problem Statement</w:t>
            </w:r>
          </w:p>
        </w:tc>
      </w:tr>
      <w:tr w:rsidR="00227727" w:rsidRPr="00227727" w14:paraId="22295EA4" w14:textId="77777777" w:rsidTr="00227727">
        <w:tc>
          <w:tcPr>
            <w:tcW w:w="0" w:type="auto"/>
            <w:hideMark/>
          </w:tcPr>
          <w:p w14:paraId="0A0768F5" w14:textId="77777777" w:rsidR="00227727" w:rsidRPr="00227727" w:rsidRDefault="00227727" w:rsidP="00E772F3">
            <w:pPr>
              <w:spacing w:line="360" w:lineRule="auto"/>
              <w:rPr>
                <w:rFonts w:ascii="Arial" w:hAnsi="Arial" w:cs="Arial"/>
                <w:sz w:val="22"/>
              </w:rPr>
            </w:pPr>
            <w:r w:rsidRPr="00227727">
              <w:rPr>
                <w:rFonts w:ascii="Arial" w:hAnsi="Arial" w:cs="Arial"/>
                <w:sz w:val="22"/>
              </w:rPr>
              <w:t>Yunus, S., Whitfield, K., &amp; Mostafa, A. M. S. (2023). High</w:t>
            </w:r>
            <w:r w:rsidRPr="00227727">
              <w:rPr>
                <w:rFonts w:ascii="Cambria Math" w:hAnsi="Cambria Math" w:cs="Cambria Math"/>
                <w:sz w:val="22"/>
              </w:rPr>
              <w:t>‐</w:t>
            </w:r>
            <w:r w:rsidRPr="00227727">
              <w:rPr>
                <w:rFonts w:ascii="Arial" w:hAnsi="Arial" w:cs="Arial"/>
                <w:sz w:val="22"/>
              </w:rPr>
              <w:t>performance HR practices, job demands and employee well</w:t>
            </w:r>
            <w:r w:rsidRPr="00227727">
              <w:rPr>
                <w:rFonts w:ascii="Cambria Math" w:hAnsi="Cambria Math" w:cs="Cambria Math"/>
                <w:sz w:val="22"/>
              </w:rPr>
              <w:t>‐</w:t>
            </w:r>
            <w:r w:rsidRPr="00227727">
              <w:rPr>
                <w:rFonts w:ascii="Arial" w:hAnsi="Arial" w:cs="Arial"/>
                <w:sz w:val="22"/>
              </w:rPr>
              <w:t xml:space="preserve">being: The moderating role of managerial support. </w:t>
            </w:r>
            <w:r w:rsidRPr="00227727">
              <w:rPr>
                <w:rStyle w:val="Emphasis"/>
                <w:rFonts w:ascii="Arial" w:hAnsi="Arial" w:cs="Arial"/>
                <w:sz w:val="22"/>
              </w:rPr>
              <w:t>Stress and Health, 39</w:t>
            </w:r>
            <w:r w:rsidRPr="00227727">
              <w:rPr>
                <w:rFonts w:ascii="Arial" w:hAnsi="Arial" w:cs="Arial"/>
                <w:sz w:val="22"/>
              </w:rPr>
              <w:t>(5), 1106–1123.</w:t>
            </w:r>
          </w:p>
        </w:tc>
        <w:tc>
          <w:tcPr>
            <w:tcW w:w="0" w:type="auto"/>
            <w:hideMark/>
          </w:tcPr>
          <w:p w14:paraId="595243B6"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High-performance HR practices, job demands, employee well-being, managerial support</w:t>
            </w:r>
          </w:p>
        </w:tc>
        <w:tc>
          <w:tcPr>
            <w:tcW w:w="0" w:type="auto"/>
            <w:hideMark/>
          </w:tcPr>
          <w:p w14:paraId="43FC8C9C"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Insufficient exploration of how managerial support alters the impact of job demands</w:t>
            </w:r>
          </w:p>
        </w:tc>
        <w:tc>
          <w:tcPr>
            <w:tcW w:w="0" w:type="auto"/>
            <w:hideMark/>
          </w:tcPr>
          <w:p w14:paraId="4AAB214D"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investigate the moderating role of managerial support between HR practices and employee well-being</w:t>
            </w:r>
          </w:p>
        </w:tc>
      </w:tr>
      <w:tr w:rsidR="00227727" w:rsidRPr="00227727" w14:paraId="4A8DD847" w14:textId="77777777" w:rsidTr="00227727">
        <w:tc>
          <w:tcPr>
            <w:tcW w:w="0" w:type="auto"/>
            <w:hideMark/>
          </w:tcPr>
          <w:p w14:paraId="282080FD"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Galanakis, M. D., &amp; Tsitouri, E. (2022). Positive psychology in the working environment: Job demands-resources theory, work engagement and burnout: A systematic literature review. </w:t>
            </w:r>
            <w:r w:rsidRPr="00227727">
              <w:rPr>
                <w:rStyle w:val="Emphasis"/>
                <w:rFonts w:ascii="Arial" w:hAnsi="Arial" w:cs="Arial"/>
                <w:sz w:val="22"/>
              </w:rPr>
              <w:t>Frontiers in Psychology, 13</w:t>
            </w:r>
            <w:r w:rsidRPr="00227727">
              <w:rPr>
                <w:rFonts w:ascii="Arial" w:hAnsi="Arial" w:cs="Arial"/>
                <w:sz w:val="22"/>
              </w:rPr>
              <w:t>, 1022102.</w:t>
            </w:r>
          </w:p>
        </w:tc>
        <w:tc>
          <w:tcPr>
            <w:tcW w:w="0" w:type="auto"/>
            <w:hideMark/>
          </w:tcPr>
          <w:p w14:paraId="0201215C"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Job demands, resources, work engagement, burnout</w:t>
            </w:r>
          </w:p>
        </w:tc>
        <w:tc>
          <w:tcPr>
            <w:tcW w:w="0" w:type="auto"/>
            <w:hideMark/>
          </w:tcPr>
          <w:p w14:paraId="006989C9"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Lack of comprehensive integration of positive psychology principles in JD-R theory</w:t>
            </w:r>
          </w:p>
        </w:tc>
        <w:tc>
          <w:tcPr>
            <w:tcW w:w="0" w:type="auto"/>
            <w:hideMark/>
          </w:tcPr>
          <w:p w14:paraId="6BD7A2CF"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systematically link positive psychology approaches with job demands-resources frameworks</w:t>
            </w:r>
          </w:p>
        </w:tc>
      </w:tr>
      <w:tr w:rsidR="00227727" w:rsidRPr="00227727" w14:paraId="5A6E229E" w14:textId="77777777" w:rsidTr="00227727">
        <w:tc>
          <w:tcPr>
            <w:tcW w:w="0" w:type="auto"/>
            <w:hideMark/>
          </w:tcPr>
          <w:p w14:paraId="3EAEF9D4"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Berger, R., Czakert, J. P., Leuteritz, J. P., &amp; Leiva, D. (2019). How and when do leaders influence employees' well-being? Moderated mediation models for job demands and resources. </w:t>
            </w:r>
            <w:r w:rsidRPr="00227727">
              <w:rPr>
                <w:rStyle w:val="Emphasis"/>
                <w:rFonts w:ascii="Arial" w:hAnsi="Arial" w:cs="Arial"/>
                <w:sz w:val="22"/>
              </w:rPr>
              <w:t>Frontiers in Psychology, 10</w:t>
            </w:r>
            <w:r w:rsidRPr="00227727">
              <w:rPr>
                <w:rFonts w:ascii="Arial" w:hAnsi="Arial" w:cs="Arial"/>
                <w:sz w:val="22"/>
              </w:rPr>
              <w:t>, 2788.</w:t>
            </w:r>
          </w:p>
        </w:tc>
        <w:tc>
          <w:tcPr>
            <w:tcW w:w="0" w:type="auto"/>
            <w:hideMark/>
          </w:tcPr>
          <w:p w14:paraId="59B31248"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Leadership, employee well-being, job demands, job resources</w:t>
            </w:r>
          </w:p>
        </w:tc>
        <w:tc>
          <w:tcPr>
            <w:tcW w:w="0" w:type="auto"/>
            <w:hideMark/>
          </w:tcPr>
          <w:p w14:paraId="45D12CF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Limited understanding of leadership's mediation role</w:t>
            </w:r>
          </w:p>
        </w:tc>
        <w:tc>
          <w:tcPr>
            <w:tcW w:w="0" w:type="auto"/>
            <w:hideMark/>
          </w:tcPr>
          <w:p w14:paraId="04B62320"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model the mechanisms through which leadership impacts employee well-</w:t>
            </w:r>
            <w:r w:rsidRPr="00227727">
              <w:rPr>
                <w:rFonts w:ascii="Arial" w:hAnsi="Arial" w:cs="Arial"/>
                <w:sz w:val="22"/>
              </w:rPr>
              <w:lastRenderedPageBreak/>
              <w:t>being under JD-R conditions</w:t>
            </w:r>
          </w:p>
        </w:tc>
      </w:tr>
      <w:tr w:rsidR="00227727" w:rsidRPr="00227727" w14:paraId="5CEF2F66" w14:textId="77777777" w:rsidTr="00227727">
        <w:tc>
          <w:tcPr>
            <w:tcW w:w="0" w:type="auto"/>
            <w:hideMark/>
          </w:tcPr>
          <w:p w14:paraId="4E32F6BE" w14:textId="77777777" w:rsidR="00227727" w:rsidRPr="00227727" w:rsidRDefault="00227727" w:rsidP="00E772F3">
            <w:pPr>
              <w:spacing w:line="360" w:lineRule="auto"/>
              <w:rPr>
                <w:rFonts w:ascii="Arial" w:hAnsi="Arial" w:cs="Arial"/>
                <w:sz w:val="22"/>
              </w:rPr>
            </w:pPr>
            <w:r w:rsidRPr="00227727">
              <w:rPr>
                <w:rFonts w:ascii="Arial" w:hAnsi="Arial" w:cs="Arial"/>
                <w:sz w:val="22"/>
              </w:rPr>
              <w:lastRenderedPageBreak/>
              <w:t xml:space="preserve">Tummers, L. G., &amp; Bakker, A. B. (2021). Leadership and Job Demands-Resources theory: A systematic review. </w:t>
            </w:r>
            <w:r w:rsidRPr="00227727">
              <w:rPr>
                <w:rStyle w:val="Emphasis"/>
                <w:rFonts w:ascii="Arial" w:hAnsi="Arial" w:cs="Arial"/>
                <w:sz w:val="22"/>
              </w:rPr>
              <w:t>Frontiers in Psychology, 12</w:t>
            </w:r>
            <w:r w:rsidRPr="00227727">
              <w:rPr>
                <w:rFonts w:ascii="Arial" w:hAnsi="Arial" w:cs="Arial"/>
                <w:sz w:val="22"/>
              </w:rPr>
              <w:t>, 722080.</w:t>
            </w:r>
          </w:p>
        </w:tc>
        <w:tc>
          <w:tcPr>
            <w:tcW w:w="0" w:type="auto"/>
            <w:hideMark/>
          </w:tcPr>
          <w:p w14:paraId="1430ADB8"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Leadership styles, job demands, resources, engagement</w:t>
            </w:r>
          </w:p>
        </w:tc>
        <w:tc>
          <w:tcPr>
            <w:tcW w:w="0" w:type="auto"/>
            <w:hideMark/>
          </w:tcPr>
          <w:p w14:paraId="2A852564"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Fragmented evidence linking leadership to JD-R dimensions</w:t>
            </w:r>
          </w:p>
        </w:tc>
        <w:tc>
          <w:tcPr>
            <w:tcW w:w="0" w:type="auto"/>
            <w:hideMark/>
          </w:tcPr>
          <w:p w14:paraId="50F833FC"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create a consolidated framework connecting leadership styles to JD-R outcomes</w:t>
            </w:r>
          </w:p>
        </w:tc>
      </w:tr>
      <w:tr w:rsidR="00227727" w:rsidRPr="00227727" w14:paraId="767BC3E7" w14:textId="77777777" w:rsidTr="00227727">
        <w:tc>
          <w:tcPr>
            <w:tcW w:w="0" w:type="auto"/>
            <w:hideMark/>
          </w:tcPr>
          <w:p w14:paraId="5EFA48A0"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Mura, P., Maricchiolo, F., Ghezzi, V., Fiorilli, C., &amp; Alivernini, F. (2018). School organizational well-being: A model based on the Job Demands-Resources theory. </w:t>
            </w:r>
            <w:r w:rsidRPr="00227727">
              <w:rPr>
                <w:rStyle w:val="Emphasis"/>
                <w:rFonts w:ascii="Arial" w:hAnsi="Arial" w:cs="Arial"/>
                <w:sz w:val="22"/>
              </w:rPr>
              <w:t>Indian Journal of Public Health Research &amp; Development, 9</w:t>
            </w:r>
            <w:r w:rsidRPr="00227727">
              <w:rPr>
                <w:rFonts w:ascii="Arial" w:hAnsi="Arial" w:cs="Arial"/>
                <w:sz w:val="22"/>
              </w:rPr>
              <w:t>(12), 1537-1542.</w:t>
            </w:r>
          </w:p>
        </w:tc>
        <w:tc>
          <w:tcPr>
            <w:tcW w:w="0" w:type="auto"/>
            <w:hideMark/>
          </w:tcPr>
          <w:p w14:paraId="42C10388"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Organizational well-being, JD-R model, school context</w:t>
            </w:r>
          </w:p>
        </w:tc>
        <w:tc>
          <w:tcPr>
            <w:tcW w:w="0" w:type="auto"/>
            <w:hideMark/>
          </w:tcPr>
          <w:p w14:paraId="01B15758"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JD-R largely unexplored in educational settings</w:t>
            </w:r>
          </w:p>
        </w:tc>
        <w:tc>
          <w:tcPr>
            <w:tcW w:w="0" w:type="auto"/>
            <w:hideMark/>
          </w:tcPr>
          <w:p w14:paraId="0B7083C5"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apply and validate JD-R theory in school environments to improve organizational well-being</w:t>
            </w:r>
          </w:p>
        </w:tc>
      </w:tr>
      <w:tr w:rsidR="00227727" w:rsidRPr="00227727" w14:paraId="00A529E9" w14:textId="77777777" w:rsidTr="00227727">
        <w:tc>
          <w:tcPr>
            <w:tcW w:w="0" w:type="auto"/>
            <w:hideMark/>
          </w:tcPr>
          <w:p w14:paraId="0517739E"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Bakker, A. B., &amp; de Vries, J. D. (2021). Job Demands–Resources theory and self-regulation: New explanations and remedies for job burnout. </w:t>
            </w:r>
            <w:r w:rsidRPr="00227727">
              <w:rPr>
                <w:rStyle w:val="Emphasis"/>
                <w:rFonts w:ascii="Arial" w:hAnsi="Arial" w:cs="Arial"/>
                <w:sz w:val="22"/>
              </w:rPr>
              <w:t>Anxiety, Stress, &amp; Coping, 34</w:t>
            </w:r>
            <w:r w:rsidRPr="00227727">
              <w:rPr>
                <w:rFonts w:ascii="Arial" w:hAnsi="Arial" w:cs="Arial"/>
                <w:sz w:val="22"/>
              </w:rPr>
              <w:t>(1), 1–21.</w:t>
            </w:r>
          </w:p>
        </w:tc>
        <w:tc>
          <w:tcPr>
            <w:tcW w:w="0" w:type="auto"/>
            <w:hideMark/>
          </w:tcPr>
          <w:p w14:paraId="6FBB1E95"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Job demands, resources, burnout, self-regulation</w:t>
            </w:r>
          </w:p>
        </w:tc>
        <w:tc>
          <w:tcPr>
            <w:tcW w:w="0" w:type="auto"/>
            <w:hideMark/>
          </w:tcPr>
          <w:p w14:paraId="78911E15"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Limited insights into self-regulation processes within JD-R framework</w:t>
            </w:r>
          </w:p>
        </w:tc>
        <w:tc>
          <w:tcPr>
            <w:tcW w:w="0" w:type="auto"/>
            <w:hideMark/>
          </w:tcPr>
          <w:p w14:paraId="723BF14E"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integrate self-regulation mechanisms into JD-R explanations of burnout</w:t>
            </w:r>
          </w:p>
        </w:tc>
      </w:tr>
      <w:tr w:rsidR="00227727" w:rsidRPr="00227727" w14:paraId="0360ECEB" w14:textId="77777777" w:rsidTr="00227727">
        <w:tc>
          <w:tcPr>
            <w:tcW w:w="0" w:type="auto"/>
            <w:hideMark/>
          </w:tcPr>
          <w:p w14:paraId="5B458AC3"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Mazzetti, G., Guglielmi, D., &amp; Schaufeli, W. B. (2016). Same actors, different roles: The contribution of personal resources and work engagement to occupational well-being. </w:t>
            </w:r>
            <w:r w:rsidRPr="00227727">
              <w:rPr>
                <w:rStyle w:val="Emphasis"/>
                <w:rFonts w:ascii="Arial" w:hAnsi="Arial" w:cs="Arial"/>
                <w:sz w:val="22"/>
              </w:rPr>
              <w:t>Work &amp; Stress, 30</w:t>
            </w:r>
            <w:r w:rsidRPr="00227727">
              <w:rPr>
                <w:rFonts w:ascii="Arial" w:hAnsi="Arial" w:cs="Arial"/>
                <w:sz w:val="22"/>
              </w:rPr>
              <w:t>(3), 231–247.</w:t>
            </w:r>
          </w:p>
        </w:tc>
        <w:tc>
          <w:tcPr>
            <w:tcW w:w="0" w:type="auto"/>
            <w:hideMark/>
          </w:tcPr>
          <w:p w14:paraId="15E940BF"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Personal resources, work engagement, occupational well-being</w:t>
            </w:r>
          </w:p>
        </w:tc>
        <w:tc>
          <w:tcPr>
            <w:tcW w:w="0" w:type="auto"/>
            <w:hideMark/>
          </w:tcPr>
          <w:p w14:paraId="30659F87"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Underexplored dual role of personal and job resources</w:t>
            </w:r>
          </w:p>
        </w:tc>
        <w:tc>
          <w:tcPr>
            <w:tcW w:w="0" w:type="auto"/>
            <w:hideMark/>
          </w:tcPr>
          <w:p w14:paraId="45A5C41A"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clarify how personal and job resources jointly impact occupational well-being</w:t>
            </w:r>
          </w:p>
        </w:tc>
      </w:tr>
      <w:tr w:rsidR="00227727" w:rsidRPr="00227727" w14:paraId="0B70948B" w14:textId="77777777" w:rsidTr="00227727">
        <w:tc>
          <w:tcPr>
            <w:tcW w:w="0" w:type="auto"/>
            <w:hideMark/>
          </w:tcPr>
          <w:p w14:paraId="386DB42F"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Zhou, T., et al. (2022). Burnout and well-being of healthcare workers in the post-pandemic period of COVID-19: A perspective from the job demands-resources model. </w:t>
            </w:r>
            <w:r w:rsidRPr="00227727">
              <w:rPr>
                <w:rStyle w:val="Emphasis"/>
                <w:rFonts w:ascii="Arial" w:hAnsi="Arial" w:cs="Arial"/>
                <w:sz w:val="22"/>
              </w:rPr>
              <w:t>BMC Health Services Research, 22</w:t>
            </w:r>
            <w:r w:rsidRPr="00227727">
              <w:rPr>
                <w:rFonts w:ascii="Arial" w:hAnsi="Arial" w:cs="Arial"/>
                <w:sz w:val="22"/>
              </w:rPr>
              <w:t>, 284.</w:t>
            </w:r>
          </w:p>
        </w:tc>
        <w:tc>
          <w:tcPr>
            <w:tcW w:w="0" w:type="auto"/>
            <w:hideMark/>
          </w:tcPr>
          <w:p w14:paraId="63A64D7B"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Burnout, well-being, healthcare workers, job demands, resources</w:t>
            </w:r>
          </w:p>
        </w:tc>
        <w:tc>
          <w:tcPr>
            <w:tcW w:w="0" w:type="auto"/>
            <w:hideMark/>
          </w:tcPr>
          <w:p w14:paraId="7DF762CA"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Need to explore post-pandemic applications of JD-R</w:t>
            </w:r>
          </w:p>
        </w:tc>
        <w:tc>
          <w:tcPr>
            <w:tcW w:w="0" w:type="auto"/>
            <w:hideMark/>
          </w:tcPr>
          <w:p w14:paraId="1695C9EF"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assess how JD-R components influence healthcare workers’ well-being post-COVID-19</w:t>
            </w:r>
          </w:p>
        </w:tc>
      </w:tr>
      <w:tr w:rsidR="00227727" w:rsidRPr="00227727" w14:paraId="52EA1B04" w14:textId="77777777" w:rsidTr="00227727">
        <w:tc>
          <w:tcPr>
            <w:tcW w:w="0" w:type="auto"/>
            <w:hideMark/>
          </w:tcPr>
          <w:p w14:paraId="78FF4D3E"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Li, M., Fu, N., Chadwick, C., &amp; Harney, B. (2023). Untangling human resource management and employee wellbeing relationships: Differentiating job resource HR practices from challenge </w:t>
            </w:r>
            <w:r w:rsidRPr="00227727">
              <w:rPr>
                <w:rFonts w:ascii="Arial" w:hAnsi="Arial" w:cs="Arial"/>
                <w:sz w:val="22"/>
              </w:rPr>
              <w:lastRenderedPageBreak/>
              <w:t xml:space="preserve">demand HR practices. </w:t>
            </w:r>
            <w:r w:rsidRPr="00227727">
              <w:rPr>
                <w:rStyle w:val="Emphasis"/>
                <w:rFonts w:ascii="Arial" w:hAnsi="Arial" w:cs="Arial"/>
                <w:sz w:val="22"/>
              </w:rPr>
              <w:t>Human Resource Management Journal, 34</w:t>
            </w:r>
            <w:r w:rsidRPr="00227727">
              <w:rPr>
                <w:rFonts w:ascii="Arial" w:hAnsi="Arial" w:cs="Arial"/>
                <w:sz w:val="22"/>
              </w:rPr>
              <w:t>(1), 214–235.</w:t>
            </w:r>
          </w:p>
        </w:tc>
        <w:tc>
          <w:tcPr>
            <w:tcW w:w="0" w:type="auto"/>
            <w:hideMark/>
          </w:tcPr>
          <w:p w14:paraId="75433EED"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lastRenderedPageBreak/>
              <w:t>HR practices, job resources, employee well-being</w:t>
            </w:r>
          </w:p>
        </w:tc>
        <w:tc>
          <w:tcPr>
            <w:tcW w:w="0" w:type="auto"/>
            <w:hideMark/>
          </w:tcPr>
          <w:p w14:paraId="2FD21098"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 xml:space="preserve">Limited distinction between HR practices as </w:t>
            </w:r>
            <w:r w:rsidRPr="00227727">
              <w:rPr>
                <w:rFonts w:ascii="Arial" w:hAnsi="Arial" w:cs="Arial"/>
                <w:sz w:val="22"/>
              </w:rPr>
              <w:lastRenderedPageBreak/>
              <w:t>resources or demands</w:t>
            </w:r>
          </w:p>
        </w:tc>
        <w:tc>
          <w:tcPr>
            <w:tcW w:w="0" w:type="auto"/>
            <w:hideMark/>
          </w:tcPr>
          <w:p w14:paraId="28D372DC"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lastRenderedPageBreak/>
              <w:t>To classify HR practices more accurately under JD-R theory</w:t>
            </w:r>
          </w:p>
        </w:tc>
      </w:tr>
      <w:tr w:rsidR="00227727" w:rsidRPr="00227727" w14:paraId="2F12466B" w14:textId="77777777" w:rsidTr="00227727">
        <w:tc>
          <w:tcPr>
            <w:tcW w:w="0" w:type="auto"/>
            <w:hideMark/>
          </w:tcPr>
          <w:p w14:paraId="7A1B5206"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Yin, H., Huang, S., &amp; Lv, L. (2018). A multilevel analysis of job characteristics, emotion regulation, and teacher well-being: A job demands-resources model. </w:t>
            </w:r>
            <w:r w:rsidRPr="00227727">
              <w:rPr>
                <w:rStyle w:val="Emphasis"/>
                <w:rFonts w:ascii="Arial" w:hAnsi="Arial" w:cs="Arial"/>
                <w:sz w:val="22"/>
              </w:rPr>
              <w:t>Frontiers in Psychology, 9</w:t>
            </w:r>
            <w:r w:rsidRPr="00227727">
              <w:rPr>
                <w:rFonts w:ascii="Arial" w:hAnsi="Arial" w:cs="Arial"/>
                <w:sz w:val="22"/>
              </w:rPr>
              <w:t>, 2395.</w:t>
            </w:r>
          </w:p>
        </w:tc>
        <w:tc>
          <w:tcPr>
            <w:tcW w:w="0" w:type="auto"/>
            <w:hideMark/>
          </w:tcPr>
          <w:p w14:paraId="0526ADC3"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Job characteristics, emotion regulation, teacher well-being</w:t>
            </w:r>
          </w:p>
        </w:tc>
        <w:tc>
          <w:tcPr>
            <w:tcW w:w="0" w:type="auto"/>
            <w:hideMark/>
          </w:tcPr>
          <w:p w14:paraId="37E4D5CD"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Limited multilevel analysis on JD-R variables</w:t>
            </w:r>
          </w:p>
        </w:tc>
        <w:tc>
          <w:tcPr>
            <w:tcW w:w="0" w:type="auto"/>
            <w:hideMark/>
          </w:tcPr>
          <w:p w14:paraId="60EAE9A5"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investigate JD-R impacts across individual and organizational levels in educational settings</w:t>
            </w:r>
          </w:p>
        </w:tc>
      </w:tr>
      <w:tr w:rsidR="00227727" w:rsidRPr="00227727" w14:paraId="19D76107" w14:textId="77777777" w:rsidTr="00227727">
        <w:tc>
          <w:tcPr>
            <w:tcW w:w="0" w:type="auto"/>
            <w:hideMark/>
          </w:tcPr>
          <w:p w14:paraId="6B244ACA"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Chuang, Y. T., Chiang, H. L., &amp; Lin, A. P. (2025). Insights from the Job Demands–Resources Model: AI’s dual impact on employees’ work and life well-being. </w:t>
            </w:r>
            <w:r w:rsidRPr="00227727">
              <w:rPr>
                <w:rStyle w:val="Emphasis"/>
                <w:rFonts w:ascii="Arial" w:hAnsi="Arial" w:cs="Arial"/>
                <w:sz w:val="22"/>
              </w:rPr>
              <w:t>International Journal of Information Management, 83</w:t>
            </w:r>
            <w:r w:rsidRPr="00227727">
              <w:rPr>
                <w:rFonts w:ascii="Arial" w:hAnsi="Arial" w:cs="Arial"/>
                <w:sz w:val="22"/>
              </w:rPr>
              <w:t>, 102887.</w:t>
            </w:r>
          </w:p>
        </w:tc>
        <w:tc>
          <w:tcPr>
            <w:tcW w:w="0" w:type="auto"/>
            <w:hideMark/>
          </w:tcPr>
          <w:p w14:paraId="6A561201"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AI, job demands-resources, work-life well-being</w:t>
            </w:r>
          </w:p>
        </w:tc>
        <w:tc>
          <w:tcPr>
            <w:tcW w:w="0" w:type="auto"/>
            <w:hideMark/>
          </w:tcPr>
          <w:p w14:paraId="02FD9C7D"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Underexplored dual impacts of AI on well-being</w:t>
            </w:r>
          </w:p>
        </w:tc>
        <w:tc>
          <w:tcPr>
            <w:tcW w:w="0" w:type="auto"/>
            <w:hideMark/>
          </w:tcPr>
          <w:p w14:paraId="56691F0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examine AI as both a resource and a demand within the JD-R model</w:t>
            </w:r>
          </w:p>
        </w:tc>
      </w:tr>
      <w:tr w:rsidR="00227727" w:rsidRPr="00227727" w14:paraId="4235A731" w14:textId="77777777" w:rsidTr="00227727">
        <w:tc>
          <w:tcPr>
            <w:tcW w:w="0" w:type="auto"/>
            <w:hideMark/>
          </w:tcPr>
          <w:p w14:paraId="76B21717"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Dicke, T., Stebner, F., Linninger, C., Kunter, M., &amp; Leutner, D. (2017). A longitudinal study of teachers’ occupational well-being: Applying the Job Demands-Resources model. </w:t>
            </w:r>
            <w:r w:rsidRPr="00227727">
              <w:rPr>
                <w:rStyle w:val="Emphasis"/>
                <w:rFonts w:ascii="Arial" w:hAnsi="Arial" w:cs="Arial"/>
                <w:sz w:val="22"/>
              </w:rPr>
              <w:t>Journal of Occupational Health Psychology, 22</w:t>
            </w:r>
            <w:r w:rsidRPr="00227727">
              <w:rPr>
                <w:rFonts w:ascii="Arial" w:hAnsi="Arial" w:cs="Arial"/>
                <w:sz w:val="22"/>
              </w:rPr>
              <w:t>(3), 262–277.</w:t>
            </w:r>
          </w:p>
        </w:tc>
        <w:tc>
          <w:tcPr>
            <w:tcW w:w="0" w:type="auto"/>
            <w:hideMark/>
          </w:tcPr>
          <w:p w14:paraId="292CCD7C"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Occupational well-being, job demands-resources, teachers</w:t>
            </w:r>
          </w:p>
        </w:tc>
        <w:tc>
          <w:tcPr>
            <w:tcW w:w="0" w:type="auto"/>
            <w:hideMark/>
          </w:tcPr>
          <w:p w14:paraId="36D3D8C0"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Lack of longitudinal evidence on JD-R outcomes</w:t>
            </w:r>
          </w:p>
        </w:tc>
        <w:tc>
          <w:tcPr>
            <w:tcW w:w="0" w:type="auto"/>
            <w:hideMark/>
          </w:tcPr>
          <w:p w14:paraId="782F1B4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evaluate the long-term effects of JD-R dynamics in the education sector</w:t>
            </w:r>
          </w:p>
        </w:tc>
      </w:tr>
      <w:tr w:rsidR="00227727" w:rsidRPr="00227727" w14:paraId="56A3A4EE" w14:textId="77777777" w:rsidTr="00227727">
        <w:tc>
          <w:tcPr>
            <w:tcW w:w="0" w:type="auto"/>
            <w:hideMark/>
          </w:tcPr>
          <w:p w14:paraId="1F5BD227"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Ndengu, T., &amp; Leka, S. (2022). Work-Related Well-Being in the Zimbabwean Banking Sector: A Job Demands-Resources Perspective. </w:t>
            </w:r>
            <w:r w:rsidRPr="00227727">
              <w:rPr>
                <w:rStyle w:val="Emphasis"/>
                <w:rFonts w:ascii="Arial" w:hAnsi="Arial" w:cs="Arial"/>
                <w:sz w:val="22"/>
              </w:rPr>
              <w:t>Safety and Health at Work, 13</w:t>
            </w:r>
            <w:r w:rsidRPr="00227727">
              <w:rPr>
                <w:rFonts w:ascii="Arial" w:hAnsi="Arial" w:cs="Arial"/>
                <w:sz w:val="22"/>
              </w:rPr>
              <w:t>(2), 220–226.</w:t>
            </w:r>
          </w:p>
        </w:tc>
        <w:tc>
          <w:tcPr>
            <w:tcW w:w="0" w:type="auto"/>
            <w:hideMark/>
          </w:tcPr>
          <w:p w14:paraId="2099E35C"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Work-related well-being, JD-R, banking sector</w:t>
            </w:r>
          </w:p>
        </w:tc>
        <w:tc>
          <w:tcPr>
            <w:tcW w:w="0" w:type="auto"/>
            <w:hideMark/>
          </w:tcPr>
          <w:p w14:paraId="4AB3F4F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JD-R applications limited to western economies</w:t>
            </w:r>
          </w:p>
        </w:tc>
        <w:tc>
          <w:tcPr>
            <w:tcW w:w="0" w:type="auto"/>
            <w:hideMark/>
          </w:tcPr>
          <w:p w14:paraId="74C8CE6A"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validate JD-R theory in emerging market banking sectors</w:t>
            </w:r>
          </w:p>
        </w:tc>
      </w:tr>
      <w:tr w:rsidR="00227727" w:rsidRPr="00227727" w14:paraId="6D737590" w14:textId="77777777" w:rsidTr="00227727">
        <w:tc>
          <w:tcPr>
            <w:tcW w:w="0" w:type="auto"/>
            <w:hideMark/>
          </w:tcPr>
          <w:p w14:paraId="5EFB1201"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Bakker, A. B., &amp; Demerouti, E. (2017). Job demands–resources theory: Taking stock and looking forward. </w:t>
            </w:r>
            <w:r w:rsidRPr="00227727">
              <w:rPr>
                <w:rStyle w:val="Emphasis"/>
                <w:rFonts w:ascii="Arial" w:hAnsi="Arial" w:cs="Arial"/>
                <w:sz w:val="22"/>
              </w:rPr>
              <w:t>Journal of Occupational Health Psychology, 22</w:t>
            </w:r>
            <w:r w:rsidRPr="00227727">
              <w:rPr>
                <w:rFonts w:ascii="Arial" w:hAnsi="Arial" w:cs="Arial"/>
                <w:sz w:val="22"/>
              </w:rPr>
              <w:t>(3), 273–285.</w:t>
            </w:r>
          </w:p>
        </w:tc>
        <w:tc>
          <w:tcPr>
            <w:tcW w:w="0" w:type="auto"/>
            <w:hideMark/>
          </w:tcPr>
          <w:p w14:paraId="60EE9E8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Job demands-resources model, work engagement, burnout</w:t>
            </w:r>
          </w:p>
        </w:tc>
        <w:tc>
          <w:tcPr>
            <w:tcW w:w="0" w:type="auto"/>
            <w:hideMark/>
          </w:tcPr>
          <w:p w14:paraId="3D43BB84"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Need for updating JD-R theory in dynamic workplaces</w:t>
            </w:r>
          </w:p>
        </w:tc>
        <w:tc>
          <w:tcPr>
            <w:tcW w:w="0" w:type="auto"/>
            <w:hideMark/>
          </w:tcPr>
          <w:p w14:paraId="6A7D8C1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extend JD-R theory with new work design realities</w:t>
            </w:r>
          </w:p>
        </w:tc>
      </w:tr>
      <w:tr w:rsidR="00227727" w:rsidRPr="00227727" w14:paraId="4CD00E73" w14:textId="77777777" w:rsidTr="00227727">
        <w:tc>
          <w:tcPr>
            <w:tcW w:w="0" w:type="auto"/>
            <w:hideMark/>
          </w:tcPr>
          <w:p w14:paraId="01720C27" w14:textId="77777777" w:rsidR="00227727" w:rsidRPr="00227727" w:rsidRDefault="00227727" w:rsidP="00E772F3">
            <w:pPr>
              <w:spacing w:line="360" w:lineRule="auto"/>
              <w:rPr>
                <w:rFonts w:ascii="Arial" w:hAnsi="Arial" w:cs="Arial"/>
                <w:sz w:val="22"/>
              </w:rPr>
            </w:pPr>
            <w:r w:rsidRPr="00227727">
              <w:rPr>
                <w:rFonts w:ascii="Arial" w:hAnsi="Arial" w:cs="Arial"/>
                <w:sz w:val="22"/>
              </w:rPr>
              <w:t>Schaufeli, W. B., &amp; Taris, T. W. (2014). A critical review of the Job Demands-Resources Model: Implications for improving work and health. In Bridging Occupational, Organizational and Public Health (pp. 43–68).</w:t>
            </w:r>
          </w:p>
        </w:tc>
        <w:tc>
          <w:tcPr>
            <w:tcW w:w="0" w:type="auto"/>
            <w:hideMark/>
          </w:tcPr>
          <w:p w14:paraId="0F48EACB"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JD-R model, work health, stress</w:t>
            </w:r>
          </w:p>
        </w:tc>
        <w:tc>
          <w:tcPr>
            <w:tcW w:w="0" w:type="auto"/>
            <w:hideMark/>
          </w:tcPr>
          <w:p w14:paraId="7B64312E"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Gaps in practical application of JD-R interventions</w:t>
            </w:r>
          </w:p>
        </w:tc>
        <w:tc>
          <w:tcPr>
            <w:tcW w:w="0" w:type="auto"/>
            <w:hideMark/>
          </w:tcPr>
          <w:p w14:paraId="4DBFA955"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improve practical JD-R interventions for workplace health</w:t>
            </w:r>
          </w:p>
        </w:tc>
      </w:tr>
      <w:tr w:rsidR="00227727" w:rsidRPr="00227727" w14:paraId="39B074F6" w14:textId="77777777" w:rsidTr="00227727">
        <w:tc>
          <w:tcPr>
            <w:tcW w:w="0" w:type="auto"/>
            <w:hideMark/>
          </w:tcPr>
          <w:p w14:paraId="64C7332F"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Blechman, E. A., Tóth-Király, I., Nadon, L., Fernet, C., &amp; Morin, A. J. S. (2022). Psychological need satisfaction and work motivation: A self-determination theory perspective. </w:t>
            </w:r>
            <w:r w:rsidRPr="00227727">
              <w:rPr>
                <w:rStyle w:val="Emphasis"/>
                <w:rFonts w:ascii="Arial" w:hAnsi="Arial" w:cs="Arial"/>
                <w:sz w:val="22"/>
              </w:rPr>
              <w:t>Journal of Management &amp; Organization.</w:t>
            </w:r>
            <w:r w:rsidRPr="00227727">
              <w:rPr>
                <w:rFonts w:ascii="Arial" w:hAnsi="Arial" w:cs="Arial"/>
                <w:sz w:val="22"/>
              </w:rPr>
              <w:t xml:space="preserve"> </w:t>
            </w:r>
            <w:hyperlink r:id="rId9" w:tgtFrame="_new" w:history="1">
              <w:r w:rsidRPr="00227727">
                <w:rPr>
                  <w:rStyle w:val="Hyperlink"/>
                  <w:rFonts w:ascii="Arial" w:hAnsi="Arial" w:cs="Arial"/>
                  <w:sz w:val="22"/>
                </w:rPr>
                <w:t>https://doi.org/10.1017/jmo.2022.76</w:t>
              </w:r>
            </w:hyperlink>
          </w:p>
        </w:tc>
        <w:tc>
          <w:tcPr>
            <w:tcW w:w="0" w:type="auto"/>
            <w:hideMark/>
          </w:tcPr>
          <w:p w14:paraId="4903710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Psychological needs, work motivation, well-being</w:t>
            </w:r>
          </w:p>
        </w:tc>
        <w:tc>
          <w:tcPr>
            <w:tcW w:w="0" w:type="auto"/>
            <w:hideMark/>
          </w:tcPr>
          <w:p w14:paraId="241338E3"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Need to differentiate global vs specific need satisfaction</w:t>
            </w:r>
          </w:p>
        </w:tc>
        <w:tc>
          <w:tcPr>
            <w:tcW w:w="0" w:type="auto"/>
            <w:hideMark/>
          </w:tcPr>
          <w:p w14:paraId="107A2A2B"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refine SDT applications in workplace well-being studies</w:t>
            </w:r>
          </w:p>
        </w:tc>
      </w:tr>
      <w:tr w:rsidR="00227727" w:rsidRPr="00227727" w14:paraId="0F48FCB7" w14:textId="77777777" w:rsidTr="00227727">
        <w:tc>
          <w:tcPr>
            <w:tcW w:w="0" w:type="auto"/>
            <w:hideMark/>
          </w:tcPr>
          <w:p w14:paraId="4183C3D4" w14:textId="77777777" w:rsidR="00227727" w:rsidRPr="00227727" w:rsidRDefault="00227727" w:rsidP="00E772F3">
            <w:pPr>
              <w:spacing w:line="360" w:lineRule="auto"/>
              <w:rPr>
                <w:rFonts w:ascii="Arial" w:hAnsi="Arial" w:cs="Arial"/>
                <w:sz w:val="22"/>
              </w:rPr>
            </w:pPr>
            <w:r w:rsidRPr="00227727">
              <w:rPr>
                <w:rFonts w:ascii="Arial" w:hAnsi="Arial" w:cs="Arial"/>
                <w:sz w:val="22"/>
              </w:rPr>
              <w:lastRenderedPageBreak/>
              <w:t xml:space="preserve">Nunes, P. M., Proença, T., &amp; Carozzo-Todaro, M. E. (2024). A systematic review on well-being and ill-being in working contexts: Contributions of self-determination theory. </w:t>
            </w:r>
            <w:r w:rsidRPr="00227727">
              <w:rPr>
                <w:rStyle w:val="Emphasis"/>
                <w:rFonts w:ascii="Arial" w:hAnsi="Arial" w:cs="Arial"/>
                <w:sz w:val="22"/>
              </w:rPr>
              <w:t>Personnel Review, 53</w:t>
            </w:r>
            <w:r w:rsidRPr="00227727">
              <w:rPr>
                <w:rFonts w:ascii="Arial" w:hAnsi="Arial" w:cs="Arial"/>
                <w:sz w:val="22"/>
              </w:rPr>
              <w:t>(2), 375–419.</w:t>
            </w:r>
          </w:p>
        </w:tc>
        <w:tc>
          <w:tcPr>
            <w:tcW w:w="0" w:type="auto"/>
            <w:hideMark/>
          </w:tcPr>
          <w:p w14:paraId="76FC7A46"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Well-being, ill-being, SDT</w:t>
            </w:r>
          </w:p>
        </w:tc>
        <w:tc>
          <w:tcPr>
            <w:tcW w:w="0" w:type="auto"/>
            <w:hideMark/>
          </w:tcPr>
          <w:p w14:paraId="4EEBBC9A"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Fragmented understanding of ill-being processes in SDT</w:t>
            </w:r>
          </w:p>
        </w:tc>
        <w:tc>
          <w:tcPr>
            <w:tcW w:w="0" w:type="auto"/>
            <w:hideMark/>
          </w:tcPr>
          <w:p w14:paraId="44AF2C7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integrate well-being and ill-being perspectives under SDT framework</w:t>
            </w:r>
          </w:p>
        </w:tc>
      </w:tr>
      <w:tr w:rsidR="00227727" w:rsidRPr="00227727" w14:paraId="5CE26161" w14:textId="77777777" w:rsidTr="00227727">
        <w:tc>
          <w:tcPr>
            <w:tcW w:w="0" w:type="auto"/>
            <w:hideMark/>
          </w:tcPr>
          <w:p w14:paraId="7E13B026"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Manganelli, L., Thibault-Landry, A., Forest, J., &amp; Carpentier, J. (2018). Self-Determination Theory and workplace performance: A review. </w:t>
            </w:r>
            <w:r w:rsidRPr="00227727">
              <w:rPr>
                <w:rStyle w:val="Emphasis"/>
                <w:rFonts w:ascii="Arial" w:hAnsi="Arial" w:cs="Arial"/>
                <w:sz w:val="22"/>
              </w:rPr>
              <w:t>Advances in Developing Human Resources.</w:t>
            </w:r>
            <w:r w:rsidRPr="00227727">
              <w:rPr>
                <w:rFonts w:ascii="Arial" w:hAnsi="Arial" w:cs="Arial"/>
                <w:sz w:val="22"/>
              </w:rPr>
              <w:t xml:space="preserve"> </w:t>
            </w:r>
            <w:hyperlink r:id="rId10" w:tgtFrame="_new" w:history="1">
              <w:r w:rsidRPr="00227727">
                <w:rPr>
                  <w:rStyle w:val="Hyperlink"/>
                  <w:rFonts w:ascii="Arial" w:hAnsi="Arial" w:cs="Arial"/>
                  <w:sz w:val="22"/>
                </w:rPr>
                <w:t>https://doi.org/10.1177/1523422318757210</w:t>
              </w:r>
            </w:hyperlink>
          </w:p>
        </w:tc>
        <w:tc>
          <w:tcPr>
            <w:tcW w:w="0" w:type="auto"/>
            <w:hideMark/>
          </w:tcPr>
          <w:p w14:paraId="5459A06F"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SDT, performance, motivation, well-being</w:t>
            </w:r>
          </w:p>
        </w:tc>
        <w:tc>
          <w:tcPr>
            <w:tcW w:w="0" w:type="auto"/>
            <w:hideMark/>
          </w:tcPr>
          <w:p w14:paraId="0D6C9B1E"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Gaps in translating SDT to organizational settings</w:t>
            </w:r>
          </w:p>
        </w:tc>
        <w:tc>
          <w:tcPr>
            <w:tcW w:w="0" w:type="auto"/>
            <w:hideMark/>
          </w:tcPr>
          <w:p w14:paraId="1A878ABE"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build organizational models for SDT applications</w:t>
            </w:r>
          </w:p>
        </w:tc>
      </w:tr>
      <w:tr w:rsidR="00227727" w:rsidRPr="00227727" w14:paraId="1A77C7B1" w14:textId="77777777" w:rsidTr="00227727">
        <w:tc>
          <w:tcPr>
            <w:tcW w:w="0" w:type="auto"/>
            <w:hideMark/>
          </w:tcPr>
          <w:p w14:paraId="73BEB594" w14:textId="77777777" w:rsidR="00227727" w:rsidRPr="00227727" w:rsidRDefault="00227727" w:rsidP="00E772F3">
            <w:pPr>
              <w:spacing w:line="360" w:lineRule="auto"/>
              <w:rPr>
                <w:rFonts w:ascii="Arial" w:hAnsi="Arial" w:cs="Arial"/>
                <w:sz w:val="22"/>
              </w:rPr>
            </w:pPr>
            <w:r w:rsidRPr="00227727">
              <w:rPr>
                <w:rFonts w:ascii="Arial" w:hAnsi="Arial" w:cs="Arial"/>
                <w:sz w:val="22"/>
              </w:rPr>
              <w:t xml:space="preserve">Camilleri, M. A. (2021). Employees’ State of Mind during COVID-19: A Self-Determination Theory Perspective. </w:t>
            </w:r>
            <w:r w:rsidRPr="00227727">
              <w:rPr>
                <w:rStyle w:val="Emphasis"/>
                <w:rFonts w:ascii="Arial" w:hAnsi="Arial" w:cs="Arial"/>
                <w:sz w:val="22"/>
              </w:rPr>
              <w:t>Sustainability, 13</w:t>
            </w:r>
            <w:r w:rsidRPr="00227727">
              <w:rPr>
                <w:rFonts w:ascii="Arial" w:hAnsi="Arial" w:cs="Arial"/>
                <w:sz w:val="22"/>
              </w:rPr>
              <w:t>(7), 3634.</w:t>
            </w:r>
          </w:p>
        </w:tc>
        <w:tc>
          <w:tcPr>
            <w:tcW w:w="0" w:type="auto"/>
            <w:hideMark/>
          </w:tcPr>
          <w:p w14:paraId="7648EBD1"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COVID-19, SDT, state of mind, employee well-being</w:t>
            </w:r>
          </w:p>
        </w:tc>
        <w:tc>
          <w:tcPr>
            <w:tcW w:w="0" w:type="auto"/>
            <w:hideMark/>
          </w:tcPr>
          <w:p w14:paraId="668BB745"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Lack of COVID-19-specific SDT applications</w:t>
            </w:r>
          </w:p>
        </w:tc>
        <w:tc>
          <w:tcPr>
            <w:tcW w:w="0" w:type="auto"/>
            <w:hideMark/>
          </w:tcPr>
          <w:p w14:paraId="1902C622" w14:textId="77777777" w:rsidR="00227727" w:rsidRPr="00227727" w:rsidRDefault="00227727" w:rsidP="00E772F3">
            <w:pPr>
              <w:spacing w:line="360" w:lineRule="auto"/>
              <w:jc w:val="center"/>
              <w:rPr>
                <w:rFonts w:ascii="Arial" w:hAnsi="Arial" w:cs="Arial"/>
                <w:sz w:val="22"/>
              </w:rPr>
            </w:pPr>
            <w:r w:rsidRPr="00227727">
              <w:rPr>
                <w:rFonts w:ascii="Arial" w:hAnsi="Arial" w:cs="Arial"/>
                <w:sz w:val="22"/>
              </w:rPr>
              <w:t>To understand SDT-driven resilience during pandemic crises</w:t>
            </w:r>
          </w:p>
        </w:tc>
      </w:tr>
    </w:tbl>
    <w:p w14:paraId="003493C4" w14:textId="77777777" w:rsidR="00227727" w:rsidRPr="00227727" w:rsidRDefault="00227727" w:rsidP="00227727">
      <w:pPr>
        <w:pStyle w:val="NormalWeb"/>
        <w:spacing w:before="0" w:beforeAutospacing="0" w:after="240" w:afterAutospacing="0" w:line="360" w:lineRule="auto"/>
        <w:jc w:val="both"/>
        <w:rPr>
          <w:rFonts w:ascii="Arial" w:hAnsi="Arial" w:cs="Arial"/>
          <w:color w:val="0E101A"/>
          <w:lang w:val="en-GB"/>
        </w:rPr>
      </w:pPr>
    </w:p>
    <w:p w14:paraId="7C157E19" w14:textId="77777777" w:rsidR="00227727" w:rsidRPr="00227727" w:rsidRDefault="00227727" w:rsidP="00227727">
      <w:pPr>
        <w:pStyle w:val="Heading2"/>
        <w:rPr>
          <w:rFonts w:ascii="Arial" w:hAnsi="Arial" w:cs="Arial"/>
        </w:rPr>
        <w:sectPr w:rsidR="00227727" w:rsidRPr="00227727" w:rsidSect="00227727">
          <w:pgSz w:w="11900" w:h="16840"/>
          <w:pgMar w:top="567" w:right="567" w:bottom="567" w:left="567" w:header="709" w:footer="709" w:gutter="0"/>
          <w:cols w:space="708"/>
          <w:docGrid w:linePitch="360"/>
        </w:sectPr>
      </w:pPr>
    </w:p>
    <w:p w14:paraId="5F937241" w14:textId="77777777" w:rsidR="00227727" w:rsidRPr="00227727" w:rsidRDefault="00227727" w:rsidP="00227727">
      <w:pPr>
        <w:pStyle w:val="Heading2"/>
        <w:rPr>
          <w:rFonts w:ascii="Arial" w:hAnsi="Arial" w:cs="Arial"/>
        </w:rPr>
      </w:pPr>
      <w:bookmarkStart w:id="5" w:name="_Toc197072218"/>
      <w:r w:rsidRPr="00227727">
        <w:rPr>
          <w:rFonts w:ascii="Arial" w:hAnsi="Arial" w:cs="Arial"/>
        </w:rPr>
        <w:lastRenderedPageBreak/>
        <w:t>THEORETICAL FRAMEWORK AND HYPOTHESES DEVELOPMENT</w:t>
      </w:r>
      <w:bookmarkEnd w:id="5"/>
    </w:p>
    <w:p w14:paraId="3693025A" w14:textId="77777777" w:rsidR="00227727" w:rsidRPr="00227727" w:rsidRDefault="00227727" w:rsidP="00227727">
      <w:pPr>
        <w:pStyle w:val="Heading3"/>
        <w:rPr>
          <w:rFonts w:ascii="Arial" w:hAnsi="Arial" w:cs="Arial"/>
        </w:rPr>
      </w:pPr>
      <w:bookmarkStart w:id="6" w:name="_Toc81045586"/>
      <w:r w:rsidRPr="00227727">
        <w:rPr>
          <w:rFonts w:ascii="Arial" w:hAnsi="Arial" w:cs="Arial"/>
        </w:rPr>
        <w:t>Smarter Working and Job Performance</w:t>
      </w:r>
      <w:bookmarkEnd w:id="6"/>
      <w:r w:rsidRPr="00227727">
        <w:rPr>
          <w:rFonts w:ascii="Arial" w:hAnsi="Arial" w:cs="Arial"/>
        </w:rPr>
        <w:t xml:space="preserve"> </w:t>
      </w:r>
    </w:p>
    <w:p w14:paraId="40CE0F43" w14:textId="77777777" w:rsidR="00227727" w:rsidRPr="00227727" w:rsidRDefault="00227727" w:rsidP="00227727">
      <w:pPr>
        <w:spacing w:after="0" w:line="360" w:lineRule="auto"/>
        <w:jc w:val="both"/>
        <w:rPr>
          <w:rFonts w:ascii="Arial" w:eastAsia="Calibri Light" w:hAnsi="Arial" w:cs="Arial"/>
          <w:sz w:val="24"/>
          <w:szCs w:val="24"/>
        </w:rPr>
      </w:pPr>
      <w:r w:rsidRPr="00227727">
        <w:rPr>
          <w:rFonts w:ascii="Arial" w:eastAsia="Calibri Light" w:hAnsi="Arial" w:cs="Arial"/>
          <w:i/>
          <w:iCs/>
          <w:sz w:val="24"/>
          <w:szCs w:val="24"/>
        </w:rPr>
        <w:t>Smarter working</w:t>
      </w:r>
      <w:r w:rsidRPr="00227727">
        <w:rPr>
          <w:rFonts w:ascii="Arial" w:eastAsia="Calibri Light" w:hAnsi="Arial" w:cs="Arial"/>
          <w:sz w:val="24"/>
          <w:szCs w:val="24"/>
        </w:rPr>
        <w:t xml:space="preserve"> describes several working arrangements that allow employees to decide when, where and how long they work (</w:t>
      </w:r>
      <w:r w:rsidRPr="00227727">
        <w:rPr>
          <w:rFonts w:ascii="Arial" w:hAnsi="Arial" w:cs="Arial"/>
          <w:color w:val="222222"/>
          <w:sz w:val="24"/>
          <w:szCs w:val="24"/>
          <w:shd w:val="clear" w:color="auto" w:fill="FFFFFF"/>
        </w:rPr>
        <w:t xml:space="preserve">Angelici &amp; Profeta, 2024; </w:t>
      </w:r>
      <w:r w:rsidRPr="00227727">
        <w:rPr>
          <w:rFonts w:ascii="Arial" w:hAnsi="Arial" w:cs="Arial"/>
          <w:sz w:val="24"/>
          <w:szCs w:val="24"/>
        </w:rPr>
        <w:t>Torre, 2020</w:t>
      </w:r>
      <w:r w:rsidRPr="00227727">
        <w:rPr>
          <w:rFonts w:ascii="Arial" w:eastAsia="Calibri Light" w:hAnsi="Arial" w:cs="Arial"/>
          <w:sz w:val="24"/>
          <w:szCs w:val="24"/>
        </w:rPr>
        <w:t xml:space="preserve">). These practices may range from part time work to working remotely, depending on the preference of the employee. Among its benefits, along with serving customers better and increasing use of technology, flexible working conditions also improves the overall well-being of employees since employees are allowed to work as they please as long as they are achieving their own professional goals (Ayling &amp; McCartney, 2020). Research on flexible working has been conducted since the 1970s, peaking in the 1990s when several researchers and institutions set up large scale studies to assess the impact of performance within organisations. These studies aimed to understand employees work-life and its effects on their physical and mental health and their performance at work. By the end of the 1990s, researchers in Western Europe and North America were conducting most of the studies, which broadened to incorporate new ways of working, such as flexible, smart/smarter and agile working, and focussed on discovering and understanding the impact of implementing flexibility into the working environment (Chung &amp; Van der Lippe, 2020). As mentioned by Raguseo, Gastaldi and Neirotti (2016), smarter working is based on three aspects of an organisation that includes its ICT (Information Communication Technology) element, supportive HR practices and the organisational culture. All of these together form and contribute towards smarter working conditions for the employees as ICT allows employees to communicate, collaborate and interact in real time, HR practices enables them more flexibility in work whereas the organisational culture supports their mental and physical needs. </w:t>
      </w:r>
    </w:p>
    <w:p w14:paraId="3C2C4BA4"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In order to implement smarter working at firms, organisations are taking upon different techniques and methods. A cloud-based intranet is being created in order to support collaborative needs of the employees. Similarly, employees are increasingly being asked to maintain their own creative spot or workplace where they desire to work at. Organisations are increasingly promoting employees to gain autonomy over how they carry out their tasks and make them empowered regarding how they do their jobs (Stamenova, 2021). Meanwhile, the successful implementation of the smarter working conditions has been measured in literature through the number of information technologies implemented, strategies concluded (Shirowzhan, et al., 2020) and the factors that form smarter working conditions including effective systems, resource management, digital workspaces, and governing policies etc. (Gastaldi, et al., 2014). </w:t>
      </w:r>
    </w:p>
    <w:p w14:paraId="0A5EA54D"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i/>
          <w:iCs/>
          <w:sz w:val="24"/>
          <w:szCs w:val="24"/>
        </w:rPr>
        <w:t>Smarter working</w:t>
      </w:r>
      <w:r w:rsidRPr="00227727">
        <w:rPr>
          <w:rFonts w:ascii="Arial" w:hAnsi="Arial" w:cs="Arial"/>
          <w:sz w:val="24"/>
          <w:szCs w:val="24"/>
        </w:rPr>
        <w:t xml:space="preserve"> gained popularity because it enables individuals the flexibility and autonomy to make decisions about where, how, and when they work through the optimal use of technology, allowing savings for taxpayers (El-Gamry &amp; Heselwood, 2018). Smarter working in the context of this study is a blend of open-plan workplaces, developing new and using existing communication and information technologies, Human Resource (HR) policies, and an organisational culture that is based on mutual trust and outcome-based performance. Professor Sharon Parker proposed SMART Work Design </w:t>
      </w:r>
      <w:r w:rsidRPr="00227727">
        <w:rPr>
          <w:rFonts w:ascii="Arial" w:hAnsi="Arial" w:cs="Arial"/>
          <w:sz w:val="24"/>
          <w:szCs w:val="24"/>
        </w:rPr>
        <w:lastRenderedPageBreak/>
        <w:t>Model that emphasises five themes—Stimulating, Mastery, Agency, Relational, and Tolerable—to improve employee work design and outcomes (see Figure 2.2). Task variety, problem-solving, and skill use stimulate engagement and interest. Masters emphasise feedback, role clarity, and task identity to help employees understand their roles and contributions (Parker, 2014; Parker, Morgeson &amp; Johns, 2017). Agency empowers and motivates employees by controlling work methods, timing, and decisions. Relational work emphasises supervisor, peer, and end-user support for teamwork and meaningful connections. For stress prevention, tolerable demands ensure manageable workloads, reduced role conflict, and moderate monitoring (Andrei &amp; Parker, 2018). These elements form a framework that improves well-being, performance, and psychosocial risks in the workplace, supporting the idea that well-designed work boosts employee and organisational success (Parker, 2014; Parker et al., 2003).</w:t>
      </w:r>
    </w:p>
    <w:p w14:paraId="6BF842D4" w14:textId="77777777" w:rsidR="00227727" w:rsidRPr="00227727" w:rsidRDefault="00227727" w:rsidP="00227727">
      <w:pPr>
        <w:spacing w:line="360" w:lineRule="auto"/>
        <w:jc w:val="center"/>
        <w:rPr>
          <w:rFonts w:ascii="Arial" w:hAnsi="Arial" w:cs="Arial"/>
          <w:sz w:val="24"/>
          <w:szCs w:val="24"/>
        </w:rPr>
      </w:pPr>
      <w:r w:rsidRPr="00227727">
        <w:rPr>
          <w:rFonts w:ascii="Arial" w:hAnsi="Arial" w:cs="Arial"/>
          <w:noProof/>
          <w:sz w:val="24"/>
          <w:szCs w:val="24"/>
        </w:rPr>
        <w:drawing>
          <wp:inline distT="0" distB="0" distL="0" distR="0" wp14:anchorId="49641487" wp14:editId="7961B1ED">
            <wp:extent cx="6454699" cy="2103302"/>
            <wp:effectExtent l="0" t="0" r="3810" b="0"/>
            <wp:docPr id="4" name="Picture 4"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a company&#10;&#10;AI-generated content may be incorrect."/>
                    <pic:cNvPicPr/>
                  </pic:nvPicPr>
                  <pic:blipFill>
                    <a:blip r:embed="rId11"/>
                    <a:stretch>
                      <a:fillRect/>
                    </a:stretch>
                  </pic:blipFill>
                  <pic:spPr>
                    <a:xfrm>
                      <a:off x="0" y="0"/>
                      <a:ext cx="6454699" cy="2103302"/>
                    </a:xfrm>
                    <a:prstGeom prst="rect">
                      <a:avLst/>
                    </a:prstGeom>
                  </pic:spPr>
                </pic:pic>
              </a:graphicData>
            </a:graphic>
          </wp:inline>
        </w:drawing>
      </w:r>
    </w:p>
    <w:p w14:paraId="2E28A046" w14:textId="77777777" w:rsidR="00227727" w:rsidRPr="00227727" w:rsidRDefault="00227727" w:rsidP="00227727">
      <w:pPr>
        <w:spacing w:after="0" w:line="360" w:lineRule="auto"/>
        <w:jc w:val="center"/>
        <w:rPr>
          <w:rFonts w:ascii="Arial" w:hAnsi="Arial" w:cs="Arial"/>
          <w:sz w:val="24"/>
          <w:szCs w:val="24"/>
        </w:rPr>
      </w:pPr>
      <w:r w:rsidRPr="00227727">
        <w:rPr>
          <w:rFonts w:ascii="Arial" w:hAnsi="Arial" w:cs="Arial"/>
          <w:b/>
          <w:sz w:val="24"/>
          <w:szCs w:val="24"/>
        </w:rPr>
        <w:t>Figure 2.2.</w:t>
      </w:r>
      <w:r w:rsidRPr="00227727">
        <w:rPr>
          <w:rFonts w:ascii="Arial" w:hAnsi="Arial" w:cs="Arial"/>
          <w:sz w:val="24"/>
          <w:szCs w:val="24"/>
        </w:rPr>
        <w:t xml:space="preserve"> Smart Working Model</w:t>
      </w:r>
    </w:p>
    <w:p w14:paraId="67996E6D" w14:textId="77777777" w:rsidR="00227727" w:rsidRPr="00227727" w:rsidRDefault="00227727" w:rsidP="00227727">
      <w:pPr>
        <w:spacing w:line="360" w:lineRule="auto"/>
        <w:jc w:val="center"/>
        <w:rPr>
          <w:rFonts w:ascii="Arial" w:hAnsi="Arial" w:cs="Arial"/>
          <w:sz w:val="20"/>
          <w:szCs w:val="24"/>
        </w:rPr>
      </w:pPr>
      <w:r w:rsidRPr="00227727">
        <w:rPr>
          <w:rFonts w:ascii="Arial" w:hAnsi="Arial" w:cs="Arial"/>
          <w:b/>
          <w:sz w:val="20"/>
          <w:szCs w:val="24"/>
        </w:rPr>
        <w:t xml:space="preserve">Source: </w:t>
      </w:r>
      <w:r w:rsidRPr="00227727">
        <w:rPr>
          <w:rFonts w:ascii="Arial" w:hAnsi="Arial" w:cs="Arial"/>
          <w:sz w:val="20"/>
          <w:szCs w:val="24"/>
        </w:rPr>
        <w:t>https://www.thriveatwork.org.au/resources/work-design/</w:t>
      </w:r>
    </w:p>
    <w:p w14:paraId="042E3301"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Smarter working focuses on the employee and improves productivity, the work environment and work-life balance by using effective communication and work processes to increase work output. Smarter working also allows individuals to work in different locations some or all of the time, including the company’s offices, at home, coffee shops or co-working in spaces with other business entities. In addition, it changes the focus from the hours worked by an individual to emphasise the job outputs (</w:t>
      </w:r>
      <w:r w:rsidRPr="00227727">
        <w:rPr>
          <w:rFonts w:ascii="Arial" w:hAnsi="Arial" w:cs="Arial"/>
          <w:color w:val="222222"/>
          <w:sz w:val="24"/>
          <w:szCs w:val="24"/>
          <w:shd w:val="clear" w:color="auto" w:fill="FFFFFF"/>
        </w:rPr>
        <w:t xml:space="preserve">Angelici and Profeta, 2020). </w:t>
      </w:r>
      <w:r w:rsidRPr="00227727">
        <w:rPr>
          <w:rFonts w:ascii="Arial" w:hAnsi="Arial" w:cs="Arial"/>
          <w:sz w:val="24"/>
          <w:szCs w:val="24"/>
        </w:rPr>
        <w:t>Although similar to smarter working</w:t>
      </w:r>
      <w:r w:rsidRPr="00227727">
        <w:rPr>
          <w:rFonts w:ascii="Arial" w:hAnsi="Arial" w:cs="Arial"/>
          <w:i/>
          <w:iCs/>
          <w:sz w:val="24"/>
          <w:szCs w:val="24"/>
        </w:rPr>
        <w:t>, agile working</w:t>
      </w:r>
      <w:r w:rsidRPr="00227727">
        <w:rPr>
          <w:rFonts w:ascii="Arial" w:hAnsi="Arial" w:cs="Arial"/>
          <w:sz w:val="24"/>
          <w:szCs w:val="24"/>
        </w:rPr>
        <w:t xml:space="preserve"> focuses on allowing employees maximum flexibility with minimal constraints to optimise their performance to the organisation’s benefit rather than their employees’ benefit (Dickmann, Brewster and Sparrow, 2016).  </w:t>
      </w:r>
    </w:p>
    <w:p w14:paraId="7B6753F3" w14:textId="77777777" w:rsidR="00227727" w:rsidRPr="00227727" w:rsidRDefault="00227727" w:rsidP="00227727">
      <w:pPr>
        <w:tabs>
          <w:tab w:val="right" w:pos="9360"/>
        </w:tabs>
        <w:spacing w:after="0" w:line="360" w:lineRule="auto"/>
        <w:ind w:firstLine="1170"/>
        <w:jc w:val="both"/>
        <w:rPr>
          <w:rFonts w:ascii="Arial" w:hAnsi="Arial" w:cs="Arial"/>
          <w:sz w:val="24"/>
          <w:szCs w:val="24"/>
        </w:rPr>
      </w:pPr>
      <w:r w:rsidRPr="00227727">
        <w:rPr>
          <w:rFonts w:ascii="Arial" w:hAnsi="Arial" w:cs="Arial"/>
          <w:sz w:val="24"/>
          <w:szCs w:val="24"/>
        </w:rPr>
        <w:t>Flexibility in the way people work is currently undergoing immense growth (</w:t>
      </w:r>
      <w:r w:rsidRPr="00227727">
        <w:rPr>
          <w:rFonts w:ascii="Arial" w:hAnsi="Arial" w:cs="Arial"/>
          <w:color w:val="222222"/>
          <w:sz w:val="24"/>
          <w:szCs w:val="24"/>
          <w:shd w:val="clear" w:color="auto" w:fill="FFFFFF"/>
        </w:rPr>
        <w:t>Lewis et al., 2017)</w:t>
      </w:r>
      <w:r w:rsidRPr="00227727">
        <w:rPr>
          <w:rFonts w:ascii="Arial" w:hAnsi="Arial" w:cs="Arial"/>
          <w:sz w:val="24"/>
          <w:szCs w:val="24"/>
        </w:rPr>
        <w:t>. Smarter working is increasingly important as organisations tackle how to balance their workers work-life while optimising work performance. Therefore, the use of Flexible Working Arrangements (FWAs) is essential and significant to 21</w:t>
      </w:r>
      <w:r w:rsidRPr="00227727">
        <w:rPr>
          <w:rFonts w:ascii="Arial" w:hAnsi="Arial" w:cs="Arial"/>
          <w:sz w:val="24"/>
          <w:szCs w:val="24"/>
          <w:vertAlign w:val="superscript"/>
        </w:rPr>
        <w:t>st</w:t>
      </w:r>
      <w:r w:rsidRPr="00227727">
        <w:rPr>
          <w:rFonts w:ascii="Arial" w:hAnsi="Arial" w:cs="Arial"/>
          <w:sz w:val="24"/>
          <w:szCs w:val="24"/>
        </w:rPr>
        <w:t xml:space="preserve">-century workplaces (Austin-Egole, et al., 2020). Offering FWAs is beneficial to both employers and employees because it allows flexibility (Voorde, Paauwe and Veldhoven, 2012). Another considerable benefit of smarter and agile working is that they enhance job performance and facilitate a balanced work-life that reduces stress among employees and increases </w:t>
      </w:r>
      <w:r w:rsidRPr="00227727">
        <w:rPr>
          <w:rFonts w:ascii="Arial" w:hAnsi="Arial" w:cs="Arial"/>
          <w:sz w:val="24"/>
          <w:szCs w:val="24"/>
        </w:rPr>
        <w:lastRenderedPageBreak/>
        <w:t xml:space="preserve">their wellbeing (Laughton &amp; Thatcher, 2018). In addition, smarter and agile working result in reduced absenteeism levels and employee turnover (Macky &amp; Boxall, 2008).  </w:t>
      </w:r>
    </w:p>
    <w:p w14:paraId="460C8005"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Smarter and agile working is proposed to promote better work-life balance, but there are some areas of concern (Lewis, Gambles &amp; Rapoport, 2007). According to Grant (2020), working from home can result in stress for some individuals due to ‘blurring of the lines’ between work and home and developing an ‘always on culture’ diverts family time to work. In addition, individuals who worked remotely from home reported feelings of isolation and having ‘no sense of belonging’ (Grant, 2020). These feelings are attributed to a lack of opportunities for individuals to interact effectively as face-to-face communication has been replaced by instant messaging, emails, and other appropriate workspace applications.</w:t>
      </w:r>
    </w:p>
    <w:p w14:paraId="68982B7C"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Furthermore, in circumstances where an organisation does not provide employees with an opportunity to collaborate and integrate within the work environment, a higher chance exists for future occupational stress claims. Contemporary ways of working could result in isolation, especially when office design or technology removes the impetus for individuals to collaborate or chat (</w:t>
      </w:r>
      <w:r w:rsidRPr="00227727">
        <w:rPr>
          <w:rFonts w:ascii="Arial" w:hAnsi="Arial" w:cs="Arial"/>
          <w:color w:val="222222"/>
          <w:sz w:val="24"/>
          <w:szCs w:val="24"/>
          <w:shd w:val="clear" w:color="auto" w:fill="FFFFFF"/>
        </w:rPr>
        <w:t>Chylinski and Hu, 2018)</w:t>
      </w:r>
      <w:r w:rsidRPr="00227727">
        <w:rPr>
          <w:rFonts w:ascii="Arial" w:hAnsi="Arial" w:cs="Arial"/>
          <w:sz w:val="24"/>
          <w:szCs w:val="24"/>
        </w:rPr>
        <w:t>. Loneliness could become a costly aspect of workplace wellness or wellbeing as lonely individuals are less engaged with their respective jobs and are more likely to request sick days. Moreover, if employers do not accept the responsibility for creating conducive work environments, this would ultimately open them to numerous stress claims from employees. Therefore, there is a need to consider new ways to monitor employees’ wellbeing. As a result of these concerns, some organisations have created technology-free zones and have policies that specify, for example, that no emails are sent during specific hours. Smarter and agile working approaches enhance job performance and are also beneficial for employees and employers’ wellbeing. Apart from the obvious business benefits, such as environmental benefits and reduced office costs, they helped reduce stress levels and improve morale among the staff (</w:t>
      </w:r>
      <w:r w:rsidRPr="00227727">
        <w:rPr>
          <w:rFonts w:ascii="Arial" w:hAnsi="Arial" w:cs="Arial"/>
          <w:color w:val="222222"/>
          <w:sz w:val="24"/>
          <w:szCs w:val="24"/>
          <w:shd w:val="clear" w:color="auto" w:fill="FFFFFF"/>
        </w:rPr>
        <w:t>Hampton, 2017)</w:t>
      </w:r>
      <w:r w:rsidRPr="00227727">
        <w:rPr>
          <w:rFonts w:ascii="Arial" w:hAnsi="Arial" w:cs="Arial"/>
          <w:sz w:val="24"/>
          <w:szCs w:val="24"/>
        </w:rPr>
        <w:t xml:space="preserve">. </w:t>
      </w:r>
    </w:p>
    <w:p w14:paraId="30C934ED"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According to modern literature, smarter working is changing the office landscape by reducing costs and increasing productivity. Geographic and temporal flexibility in smart working models reduces office space and overhead costs like utilities and maintenance (Angelici and Profeta, 2024). Choudhury et al. (2021) show that work-from-anywhere policies reduce infrastructure costs and increase employee satisfaction and productivity. Remote working strategies optimise workforce distribution and use digital tools to reduce operational costs, according to Emanuel and Harrington (2022). Innovative energy-saving and waste-reduction technology in smart offices further reduces costs (Papagiannidis and Marikyan, 2020). Smart working also boosts productivity and reduces absenteeism by focusing on results rather than presence (Fragouli and Ilia, 2019). Flexibility lets workers choose their work schedules and locations, which boosts morale and reduces turnover, lowering recruitment and training costs (Torre, 2020). Employee autonomy and well-being boost engagement and productivity, aligning organisational goals with employee satisfaction (Angelici and Profeta, 2024).</w:t>
      </w:r>
      <w:r w:rsidRPr="00227727" w:rsidDel="00A9207B">
        <w:rPr>
          <w:rFonts w:ascii="Arial" w:hAnsi="Arial" w:cs="Arial"/>
          <w:sz w:val="24"/>
          <w:szCs w:val="24"/>
          <w:highlight w:val="yellow"/>
        </w:rPr>
        <w:t xml:space="preserve"> </w:t>
      </w:r>
    </w:p>
    <w:p w14:paraId="32002BC2" w14:textId="77777777" w:rsidR="00227727" w:rsidRPr="00227727" w:rsidRDefault="00227727" w:rsidP="00227727">
      <w:pPr>
        <w:tabs>
          <w:tab w:val="left" w:pos="720"/>
          <w:tab w:val="right" w:pos="9360"/>
        </w:tabs>
        <w:spacing w:after="0" w:line="360" w:lineRule="auto"/>
        <w:jc w:val="both"/>
        <w:rPr>
          <w:rFonts w:ascii="Arial" w:hAnsi="Arial" w:cs="Arial"/>
          <w:sz w:val="24"/>
          <w:szCs w:val="24"/>
        </w:rPr>
      </w:pPr>
      <w:r w:rsidRPr="00227727">
        <w:rPr>
          <w:rFonts w:ascii="Arial" w:hAnsi="Arial" w:cs="Arial"/>
          <w:sz w:val="24"/>
          <w:szCs w:val="24"/>
        </w:rPr>
        <w:tab/>
        <w:t xml:space="preserve">In addition, smarter and agile working increases staff retention and helps widen and unlock a bigger talent pool making it possible for businesses to recruit the best talent regardless of where </w:t>
      </w:r>
      <w:r w:rsidRPr="00227727">
        <w:rPr>
          <w:rFonts w:ascii="Arial" w:hAnsi="Arial" w:cs="Arial"/>
          <w:sz w:val="24"/>
          <w:szCs w:val="24"/>
        </w:rPr>
        <w:lastRenderedPageBreak/>
        <w:t>employees lived. Wang et al. (2023) found that smarter working allows employees to spend more time with their families, increasing flexibility and encouraging smart working. They indicated a significant impact of perceived cost on employees’ smart working adoption (estimate = -0.230, p &gt; 0.012). Smart working and telework, already used before COVID-19, became crucial during the pandemic. The Italian Ministry of Labour and Social Policies reported 1.8 million smart workers in May 2020, up from 570,000 in 2019. The ability of smart workers to maintain work continuity, flexibility, and work-life balance during unprecedented times is shown by this dramatic shift. Furthermore, agile working needs an ‘entirely different outlook’ (Wu, 2018). Any unstructured and poor management and communication practices will ultimately result in a breakdown and lack of trust among the team members, ultimately negatively impacting the team member’s engagement (Wu, 2018).</w:t>
      </w:r>
    </w:p>
    <w:p w14:paraId="4B9B8C24" w14:textId="77777777" w:rsidR="00227727" w:rsidRPr="00227727" w:rsidRDefault="00227727" w:rsidP="00227727">
      <w:pPr>
        <w:tabs>
          <w:tab w:val="left" w:pos="720"/>
          <w:tab w:val="right" w:pos="9360"/>
        </w:tabs>
        <w:spacing w:after="0" w:line="360" w:lineRule="auto"/>
        <w:jc w:val="both"/>
        <w:rPr>
          <w:rFonts w:ascii="Arial" w:hAnsi="Arial" w:cs="Arial"/>
          <w:sz w:val="24"/>
          <w:szCs w:val="24"/>
        </w:rPr>
      </w:pPr>
      <w:r w:rsidRPr="00227727">
        <w:rPr>
          <w:rFonts w:ascii="Arial" w:hAnsi="Arial" w:cs="Arial"/>
          <w:sz w:val="24"/>
          <w:szCs w:val="24"/>
        </w:rPr>
        <w:tab/>
        <w:t xml:space="preserve">Workplace flexibility is crucial to employee well-being, engagement, and organisational success. In a longitudinal study of Australian employees, Timms et al. (2015) found that flexible organisational cultures increased employee engagement and decreased turnover intentions. Work overload increased turnover, but flexible working arrangements increased engagement in married or parent employees. Felstead and Henseke (2017) found that smart working adoption increased by 5% from 1997 to 2014, improving job satisfaction, organisational commitment, and employee well-being. Smart working caused fatigue and job insecurity for some workers, highlighting the need for balanced implementation strategies. In addition, Molino et al. (2020) also showed that flexibility had two effects during the COVID-19 pandemic. Smart working reduced work-family conflict and increased autonomy but also caused technostress, which hurt employees. Grant et al. (2013) also stressed the importance of managerial and social support in addressing role ambiguity and social isolation, citing flexibility as a key enabler of work-life balance and employee well-being. Prasad et al. (2020) found that remote working improved psychological well-being by helping employees manage their schedules, but it also introduced family interference and social isolation. </w:t>
      </w:r>
    </w:p>
    <w:p w14:paraId="295C12AD"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Smarter and agile working also results in a sedentary lifestyle contributing to a wide range of health problems or ailments, including mental health problems, such as anxiety and depression, health diseases, such as cardiovascular diseases, obesity, cancer, and diabetes (</w:t>
      </w:r>
      <w:r w:rsidRPr="00227727">
        <w:rPr>
          <w:rFonts w:ascii="Arial" w:hAnsi="Arial" w:cs="Arial"/>
          <w:color w:val="222222"/>
          <w:sz w:val="24"/>
          <w:szCs w:val="24"/>
          <w:shd w:val="clear" w:color="auto" w:fill="FFFFFF"/>
        </w:rPr>
        <w:t>Umeokafor and Windapo, 2020)</w:t>
      </w:r>
      <w:r w:rsidRPr="00227727">
        <w:rPr>
          <w:rFonts w:ascii="Arial" w:hAnsi="Arial" w:cs="Arial"/>
          <w:sz w:val="24"/>
          <w:szCs w:val="24"/>
        </w:rPr>
        <w:t>. Even though office work is a sedentary occupation, office employees are visible to their employers while home employees are not; this influences the responsibility of employers regarding how the two sets of employees are effectively managed and monitored. For example, employers could force employees to use smart devices to record their physical activity or work levels (</w:t>
      </w:r>
      <w:r w:rsidRPr="00227727">
        <w:rPr>
          <w:rFonts w:ascii="Arial" w:hAnsi="Arial" w:cs="Arial"/>
          <w:color w:val="222222"/>
          <w:sz w:val="24"/>
          <w:szCs w:val="24"/>
          <w:shd w:val="clear" w:color="auto" w:fill="FFFFFF"/>
        </w:rPr>
        <w:t>Rainero and Modarelli, 2021) to</w:t>
      </w:r>
      <w:r w:rsidRPr="00227727">
        <w:rPr>
          <w:rFonts w:ascii="Arial" w:hAnsi="Arial" w:cs="Arial"/>
          <w:sz w:val="24"/>
          <w:szCs w:val="24"/>
        </w:rPr>
        <w:t xml:space="preserve"> measure how sedentary they have been during their working hours and suggest appropriate changes to enhance physical activity. However, this may result in a wide range of ethical considerations and privacy considerations. In addition, employers’ duties do not extend to what happens in employees’ homes, but this is bound to change due to the evolving situation. </w:t>
      </w:r>
    </w:p>
    <w:p w14:paraId="4C454945"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As a result of the immense growth in flexible working conditions (</w:t>
      </w:r>
      <w:r w:rsidRPr="00227727">
        <w:rPr>
          <w:rFonts w:ascii="Arial" w:hAnsi="Arial" w:cs="Arial"/>
          <w:color w:val="222222"/>
          <w:sz w:val="24"/>
          <w:szCs w:val="24"/>
          <w:shd w:val="clear" w:color="auto" w:fill="FFFFFF"/>
        </w:rPr>
        <w:t xml:space="preserve">Lewis et al., 2017), </w:t>
      </w:r>
      <w:r w:rsidRPr="00227727">
        <w:rPr>
          <w:rFonts w:ascii="Arial" w:hAnsi="Arial" w:cs="Arial"/>
          <w:sz w:val="24"/>
          <w:szCs w:val="24"/>
        </w:rPr>
        <w:t xml:space="preserve">it is becoming prudent for employers to ascertain future risks, including health concerns, and to weigh the impacts on work optimisation and employee wellbeing before seeking and implementing appropriate </w:t>
      </w:r>
      <w:r w:rsidRPr="00227727">
        <w:rPr>
          <w:rFonts w:ascii="Arial" w:hAnsi="Arial" w:cs="Arial"/>
          <w:sz w:val="24"/>
          <w:szCs w:val="24"/>
        </w:rPr>
        <w:lastRenderedPageBreak/>
        <w:t xml:space="preserve">strategies to reduce or avoid them. Such a risk assessment approach will also make it relatively easy for sufficient safeguard measures to be implemented to support the provision of cover by their respective insurers. For smarter and agile working to be effective, employers’ total support and commitment are needed including lump-sum investments into appropriate technologies and putting viable processes and robust policies in place. However, even though workers working in a smarter or agile way feel empowered and motivated, there are risks as these are relatively new concepts for most employers (Iannotta, et al., 2020). Therefore, employers must be prepared before implementing such working approaches. </w:t>
      </w:r>
    </w:p>
    <w:p w14:paraId="1918AE6A"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 xml:space="preserve">Smarter and agile working impact employees’ wellbeing, as these approaches are responsible for wide-ranging changes to the work experience brought about by enhanced technology. In support, </w:t>
      </w:r>
      <w:r w:rsidRPr="00227727">
        <w:rPr>
          <w:rFonts w:ascii="Arial" w:hAnsi="Arial" w:cs="Arial"/>
          <w:color w:val="222222"/>
          <w:sz w:val="24"/>
          <w:szCs w:val="24"/>
          <w:shd w:val="clear" w:color="auto" w:fill="FFFFFF"/>
        </w:rPr>
        <w:t xml:space="preserve">Bucea-Manea-Țoniş et al. (2021) </w:t>
      </w:r>
      <w:r w:rsidRPr="00227727">
        <w:rPr>
          <w:rFonts w:ascii="Arial" w:hAnsi="Arial" w:cs="Arial"/>
          <w:sz w:val="24"/>
          <w:szCs w:val="24"/>
        </w:rPr>
        <w:t xml:space="preserve">suggest that the contemporary workforce’s desire to have an improved work-life balance is attributed to a rise in smarter working and agile working. Furthermore, it is projected that commuting to work by individuals could be quite different in the future since autonomous vehicles could be driving them to their workplace (Nazari, et al., 2018). In addition, dedicated workstations away from their organisation’s workplace may become popular in the future. Hence, based on the increasing conflict between smarter working and its influence over employees’ job performance as the pandemic has shown that smarter working conditions might prove to be stressful impacting the job performance of employees, the following hypothesis has been derived: </w:t>
      </w:r>
    </w:p>
    <w:p w14:paraId="62E7E3E2" w14:textId="77777777" w:rsidR="00227727" w:rsidRPr="00227727" w:rsidRDefault="00227727" w:rsidP="00227727">
      <w:pPr>
        <w:spacing w:after="0" w:line="360" w:lineRule="auto"/>
        <w:rPr>
          <w:rFonts w:ascii="Arial" w:hAnsi="Arial" w:cs="Arial"/>
          <w:i/>
          <w:iCs/>
          <w:sz w:val="24"/>
          <w:szCs w:val="24"/>
        </w:rPr>
      </w:pPr>
      <w:r w:rsidRPr="00227727">
        <w:rPr>
          <w:rFonts w:ascii="Arial" w:hAnsi="Arial" w:cs="Arial"/>
          <w:i/>
          <w:iCs/>
          <w:sz w:val="24"/>
          <w:szCs w:val="24"/>
        </w:rPr>
        <w:t>H</w:t>
      </w:r>
      <w:r w:rsidRPr="00227727">
        <w:rPr>
          <w:rFonts w:ascii="Arial" w:hAnsi="Arial" w:cs="Arial"/>
          <w:i/>
          <w:iCs/>
          <w:sz w:val="24"/>
          <w:szCs w:val="24"/>
          <w:vertAlign w:val="subscript"/>
        </w:rPr>
        <w:t>1</w:t>
      </w:r>
      <w:r w:rsidRPr="00227727">
        <w:rPr>
          <w:rFonts w:ascii="Arial" w:hAnsi="Arial" w:cs="Arial"/>
          <w:i/>
          <w:iCs/>
          <w:sz w:val="24"/>
          <w:szCs w:val="24"/>
        </w:rPr>
        <w:t>: Smarter working is positively related to employees’ job performance in public organisations</w:t>
      </w:r>
    </w:p>
    <w:p w14:paraId="751E4AF6" w14:textId="77777777" w:rsidR="00227727" w:rsidRPr="00227727" w:rsidRDefault="00227727" w:rsidP="00227727">
      <w:pPr>
        <w:pStyle w:val="Heading3"/>
        <w:rPr>
          <w:rFonts w:ascii="Arial" w:hAnsi="Arial" w:cs="Arial"/>
        </w:rPr>
      </w:pPr>
      <w:bookmarkStart w:id="7" w:name="_Toc81045587"/>
      <w:r w:rsidRPr="00227727">
        <w:rPr>
          <w:rFonts w:ascii="Arial" w:hAnsi="Arial" w:cs="Arial"/>
        </w:rPr>
        <w:t>Employee Well-being as a Mediator between Smarter Working and Job Performance</w:t>
      </w:r>
      <w:bookmarkEnd w:id="7"/>
    </w:p>
    <w:p w14:paraId="262EB4DB" w14:textId="77777777" w:rsidR="00227727" w:rsidRPr="00227727" w:rsidRDefault="00227727" w:rsidP="00227727">
      <w:pPr>
        <w:pStyle w:val="Heading4"/>
        <w:rPr>
          <w:rFonts w:ascii="Arial" w:hAnsi="Arial" w:cs="Arial"/>
        </w:rPr>
      </w:pPr>
      <w:bookmarkStart w:id="8" w:name="_Toc81045585"/>
      <w:r w:rsidRPr="00227727">
        <w:rPr>
          <w:rFonts w:ascii="Arial" w:hAnsi="Arial" w:cs="Arial"/>
        </w:rPr>
        <w:t>Employee Well-being</w:t>
      </w:r>
      <w:bookmarkEnd w:id="8"/>
    </w:p>
    <w:p w14:paraId="68DD0834"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Employee well-being can be related to various factors surrounding the work life of an individual. It can be the quality and safety that an individual receives from his workplace or can even be the feelings associated with one’s job role. Even Occupational Safety and Health (OSH) tries to establish that such measures should be in place that makes employees feel safe, engaged, and satisfied with their jobs. Organisations are increasingly realising that their employee’s well-being needs to be looked after and promoted in order to ensure their long-term commitment towards the organisation (International Labour Organisation, n.d.). Different research has measured employee well-being through different dimensions of their interaction including physical health, mental health (Ponting, 2020), social health and financial health (Tuzovic &amp; Kabadayi, 2020).</w:t>
      </w:r>
    </w:p>
    <w:p w14:paraId="02909A25"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As mentioned earlier, smarter working allows flexible working conditions to employees that encourages them to gain more control over their jobs, in result becoming more accountable. This gained freedom results in increasing job performance for individuals as greater autonomy yields more productivity and efficiency (Olcer &amp; Florescu, 2015). Different studies have also proved that the work from home policy issued during the pandemic, resulted in high productivity after the organisations completely settled into the work from home regime (Ozimek, 2020). In fact, as compared to physical workspaces, virtual workspaces were more efficient (Ratna &amp; Kaur, 2016). Big companies such as </w:t>
      </w:r>
      <w:r w:rsidRPr="00227727">
        <w:rPr>
          <w:rFonts w:ascii="Arial" w:hAnsi="Arial" w:cs="Arial"/>
          <w:sz w:val="24"/>
          <w:szCs w:val="24"/>
        </w:rPr>
        <w:lastRenderedPageBreak/>
        <w:t xml:space="preserve">Google and Facebook also reported an increase in productivity due to providing smarter working conditions such as work from home to its employees. </w:t>
      </w:r>
    </w:p>
    <w:p w14:paraId="00763C76"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The fact remains that these organisations completely asked their employees to turn to work from home and only focus on achieving daily targets on their own accord without constraining them to any working methods or fixed working timings. This ease and convenience that enabled employees to accomplish their tasks with autonomy, responsibility, and freedom, increased their overall job performance as it made them feel directly involved with the company’s success (Lerman &amp; Greene, 2020). This research can, therefore, examine the effect of smarter working conditions more over the employees of the public sector who day and night face many challenges while implementing similar models of the private sector within their own industry. Moreover, it will also enlighten the relation between smarter working conditions and job performance through high satisfaction levels meanwhile, also analysing how HR practices can moderate the effect of this relation as well, based on existing literature. subjective wellbeing, also called self-reported wellbeing, refers to how people experience and assess their lives’ different activities and spheres (National Research Council, 2013) and covers many aspects of their subjective mental state (</w:t>
      </w:r>
      <w:r w:rsidRPr="00227727">
        <w:rPr>
          <w:rFonts w:ascii="Arial" w:hAnsi="Arial" w:cs="Arial"/>
          <w:color w:val="222222"/>
          <w:sz w:val="24"/>
          <w:szCs w:val="24"/>
          <w:shd w:val="clear" w:color="auto" w:fill="FFFFFF"/>
        </w:rPr>
        <w:t>Torre &amp; Sarti, 2019)</w:t>
      </w:r>
      <w:r w:rsidRPr="00227727">
        <w:rPr>
          <w:rFonts w:ascii="Arial" w:hAnsi="Arial" w:cs="Arial"/>
          <w:sz w:val="24"/>
          <w:szCs w:val="24"/>
        </w:rPr>
        <w:t>. Subjective wellbeing</w:t>
      </w:r>
      <w:r w:rsidRPr="00227727">
        <w:rPr>
          <w:rFonts w:ascii="Arial" w:hAnsi="Arial" w:cs="Arial"/>
          <w:color w:val="000000"/>
          <w:sz w:val="24"/>
          <w:szCs w:val="24"/>
          <w:shd w:val="clear" w:color="auto" w:fill="FFFFFF"/>
        </w:rPr>
        <w:t xml:space="preserve"> includes</w:t>
      </w:r>
      <w:r w:rsidRPr="00227727">
        <w:rPr>
          <w:rFonts w:ascii="Arial" w:hAnsi="Arial" w:cs="Arial"/>
          <w:sz w:val="24"/>
          <w:szCs w:val="24"/>
        </w:rPr>
        <w:t xml:space="preserve"> numerous evaluations that people make of their lives using questionnaires that record their affective reactions to their experiences (</w:t>
      </w:r>
      <w:r w:rsidRPr="00227727">
        <w:rPr>
          <w:rFonts w:ascii="Arial" w:hAnsi="Arial" w:cs="Arial"/>
          <w:color w:val="222222"/>
          <w:sz w:val="24"/>
          <w:szCs w:val="24"/>
          <w:shd w:val="clear" w:color="auto" w:fill="FFFFFF"/>
        </w:rPr>
        <w:t>Torre and Sarti, 2019)</w:t>
      </w:r>
      <w:r w:rsidRPr="00227727">
        <w:rPr>
          <w:rFonts w:ascii="Arial" w:hAnsi="Arial" w:cs="Arial"/>
          <w:sz w:val="24"/>
          <w:szCs w:val="24"/>
        </w:rPr>
        <w:t xml:space="preserve">. </w:t>
      </w:r>
    </w:p>
    <w:p w14:paraId="52FA2521"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For several years, UK policymakers emphasised Gross Domestic Product (GDP) growth as the most vital means to better or enhance citizen’s quality of life. More recently, the UK government and its advisers have turned their attention and focus to other essential measures, including individuals’ subjective wellbeing. However, citizens in developed economies do not necessarily become happier with increased prosperity. Rather, evidence highlights the link and association between employees’ SBW at their workplace and their performances (</w:t>
      </w:r>
      <w:r w:rsidRPr="00227727">
        <w:rPr>
          <w:rFonts w:ascii="Arial" w:hAnsi="Arial" w:cs="Arial"/>
          <w:color w:val="222222"/>
          <w:sz w:val="24"/>
          <w:szCs w:val="24"/>
          <w:shd w:val="clear" w:color="auto" w:fill="FFFFFF"/>
        </w:rPr>
        <w:t>Kelliher and De Menezes, 2019)</w:t>
      </w:r>
      <w:r w:rsidRPr="00227727">
        <w:rPr>
          <w:rFonts w:ascii="Arial" w:hAnsi="Arial" w:cs="Arial"/>
          <w:sz w:val="24"/>
          <w:szCs w:val="24"/>
        </w:rPr>
        <w:t xml:space="preserve">. Therefore, the UK government’s stakeholders must become aware of appropriate ways to measure and define workplace wellbeing and identify the specific job characteristics of individual employees that may influence their wellbeing within the workplace. </w:t>
      </w:r>
    </w:p>
    <w:p w14:paraId="616F3E8B" w14:textId="77777777" w:rsidR="00227727" w:rsidRPr="00227727" w:rsidRDefault="00227727" w:rsidP="00227727">
      <w:pPr>
        <w:pStyle w:val="CommentText"/>
        <w:spacing w:after="0" w:line="360" w:lineRule="auto"/>
        <w:ind w:firstLine="720"/>
        <w:jc w:val="both"/>
        <w:rPr>
          <w:rFonts w:ascii="Arial" w:hAnsi="Arial" w:cs="Arial"/>
          <w:sz w:val="24"/>
          <w:szCs w:val="24"/>
        </w:rPr>
      </w:pPr>
      <w:r w:rsidRPr="00227727">
        <w:rPr>
          <w:rFonts w:ascii="Arial" w:hAnsi="Arial" w:cs="Arial"/>
          <w:sz w:val="24"/>
          <w:szCs w:val="24"/>
        </w:rPr>
        <w:t xml:space="preserve">For long, a positive and happy attitude towards the job role has been acknowledged as a competitive advantage within the economy. If the workers are happy, they are more inclined towards doing their best meanwhile aiding the organisation indirectly in achieving their objectives (Guest, 2002), thus reporting an improved job performance. A seller would only be good and motivated at his job if he is happy with it. A happy and positive attitude has also been known to reduce the impact of lack of skills within an individual meanwhile enabling them to become more active and even proactive when it comes to facing challenges. Thus, an improved employee well-being leads towards an improved job performance (Salas-Vallina, et al. 2020). Moreover, Warr and Nielsen (2018) have also reported that a worker who has an increased state of well-being is more likely to be productive as compared to his counterpart having a low well-being. Employee well-being also improves job satisfaction that in result motivates them to do even better with their jobs resulting in increased engagement as well. As flexible working increases employee well-being (Jensen, Patel &amp; Messersmith, 2013) meanwhile, it has also </w:t>
      </w:r>
      <w:r w:rsidRPr="00227727">
        <w:rPr>
          <w:rFonts w:ascii="Arial" w:hAnsi="Arial" w:cs="Arial"/>
          <w:sz w:val="24"/>
          <w:szCs w:val="24"/>
        </w:rPr>
        <w:lastRenderedPageBreak/>
        <w:t xml:space="preserve">been proved that flexible working has significantly improved worker’s performance. It can be said that employee well-being acts as a mediator between flexible working and job performance since without well-being an employee would not be satisfied and would not perform better within his job role. </w:t>
      </w:r>
    </w:p>
    <w:p w14:paraId="03BF463F" w14:textId="77777777" w:rsidR="00227727" w:rsidRPr="00227727" w:rsidRDefault="00227727" w:rsidP="00227727">
      <w:pPr>
        <w:pStyle w:val="CommentText"/>
        <w:spacing w:line="360" w:lineRule="auto"/>
        <w:ind w:firstLine="720"/>
        <w:jc w:val="both"/>
        <w:rPr>
          <w:rFonts w:ascii="Arial" w:hAnsi="Arial" w:cs="Arial"/>
          <w:sz w:val="24"/>
          <w:szCs w:val="24"/>
        </w:rPr>
      </w:pPr>
      <w:r w:rsidRPr="00227727">
        <w:rPr>
          <w:rFonts w:ascii="Arial" w:hAnsi="Arial" w:cs="Arial"/>
          <w:sz w:val="24"/>
          <w:szCs w:val="24"/>
        </w:rPr>
        <w:t>Through analysis it has been proved that providing flexibility and degree of freedom to employees, they are more satisfied with their jobs having more control over how they carry out their tasks thus, improving their overall well-being as well (Menezes and Kelliher, 2011). Therefore, most of the research carried out concerning employee well-being is in relation to job satisfaction and stress since these are the main factors that contribute towards creating either a positive or a negative influence over the well-being of an employee. Different research has claimed that employee well-being since long has been significantly associated with increasing job performance and productivity (Keeman, et al., 2017). The relation is so strong that it has also been noted that as employee well-being improves, the overall national health also improves (Goh et al., 2015). Tuzovic and Kabadayi (2020) studied employee well-being of an organisation during the coronavirus pandemic, reporting high levels of anxiety and stress thereby implying that all the employees were not that well looked after since some were in self-quarantine, some were experiencing the side effects of this disease, and some lost the balance between work and life. All of these outcomes took a toll over their health resulting in isolation, loneliness and depression and thus, negative KPI’s were reported during the start of the work from home policy in 2020. Moreover, the job demands and resource model also concluded that for an employee to be more efficient it is necessary to provide them the required resources so that they can manage it effectively. However, demands of government, the industry and the organisation require these resources to be changed from time to time that may take a toll over employee well-being as well (Brauchli, et al., 2013). This has been attributed to the fact that an industry requiring greater accountability of an individual can only drain their employees more whereas offering them more flexibility in terms of responsibility can improve well-being that results in reporting an improvement in the overall job performance as employees feel more empowered, responsible and in control of their jobs (Tuzovic &amp; Kabadayi, 2020).</w:t>
      </w:r>
    </w:p>
    <w:p w14:paraId="5BF69A01" w14:textId="77777777" w:rsidR="00227727" w:rsidRPr="00227727" w:rsidRDefault="00227727" w:rsidP="00227727">
      <w:pPr>
        <w:pStyle w:val="Heading4"/>
        <w:rPr>
          <w:rFonts w:ascii="Arial" w:hAnsi="Arial" w:cs="Arial"/>
        </w:rPr>
      </w:pPr>
      <w:bookmarkStart w:id="9" w:name="_Toc81045588"/>
      <w:r w:rsidRPr="00227727">
        <w:rPr>
          <w:rFonts w:ascii="Arial" w:hAnsi="Arial" w:cs="Arial"/>
        </w:rPr>
        <w:t>Smarter Working and Employee Well-being</w:t>
      </w:r>
      <w:bookmarkEnd w:id="9"/>
    </w:p>
    <w:p w14:paraId="1E7EFE45"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Due to the COVID-19 global pandemic, more organisations and employees are turning to smarter working, as people are expected to stay at home and avoid contact with other people. The world of business will never be the same again, even post COVID-19. Smarter working practises, such as flexible working arrangements, will continue to grow in popularity as organisations seek to attain higher levels of flexibility and adaptability to remain competitive. Although the current global pandemic is the primary driver of smarter and agile working, the European Union (EU), </w:t>
      </w:r>
      <w:r w:rsidRPr="00227727">
        <w:rPr>
          <w:rFonts w:ascii="Arial" w:hAnsi="Arial" w:cs="Arial"/>
          <w:sz w:val="24"/>
          <w:szCs w:val="24"/>
          <w:shd w:val="clear" w:color="auto" w:fill="FFFFFF"/>
        </w:rPr>
        <w:t>Organisation for Economic Co-operation and Development</w:t>
      </w:r>
      <w:r w:rsidRPr="00227727">
        <w:rPr>
          <w:rFonts w:ascii="Arial" w:hAnsi="Arial" w:cs="Arial"/>
          <w:sz w:val="24"/>
          <w:szCs w:val="24"/>
        </w:rPr>
        <w:t xml:space="preserve"> (OECD) and Institutional Labour Organisation (ILO) also recommend their implementation (Kattenbach et al., 2010; Kottey and Sharma, 2016). According to recent studies, most employees in the UK prefer working flexibly and have opted to spend all or most of their work time away from their offices. This trend has grown over the past ten years and is expected to rise in the </w:t>
      </w:r>
      <w:r w:rsidRPr="00227727">
        <w:rPr>
          <w:rFonts w:ascii="Arial" w:hAnsi="Arial" w:cs="Arial"/>
          <w:sz w:val="24"/>
          <w:szCs w:val="24"/>
        </w:rPr>
        <w:lastRenderedPageBreak/>
        <w:t>future (</w:t>
      </w:r>
      <w:r w:rsidRPr="00227727">
        <w:rPr>
          <w:rFonts w:ascii="Arial" w:hAnsi="Arial" w:cs="Arial"/>
          <w:color w:val="222222"/>
          <w:sz w:val="24"/>
          <w:szCs w:val="24"/>
          <w:shd w:val="clear" w:color="auto" w:fill="FFFFFF"/>
        </w:rPr>
        <w:t>Russell and Grant, 2020)</w:t>
      </w:r>
      <w:r w:rsidRPr="00227727">
        <w:rPr>
          <w:rFonts w:ascii="Arial" w:hAnsi="Arial" w:cs="Arial"/>
          <w:sz w:val="24"/>
          <w:szCs w:val="24"/>
        </w:rPr>
        <w:t>. In this regard, Figure 2.3 depicts the number of UK employees with flexible working hours between 2013 and 2024. According to the data, the number of employees adopting flexible working practices has steadily increased, from 3.2 million in 2013 to 4.4 million in 2023. This trend reflects the growing recognition of workplace flexibility as an essential component of modern work environments, fuelled by technological advancements and shifting workforce expectations. However, a slight decline in 2024 indicates potential challenges or adjustments to flexible work policies following the pandemic. Overall, the data show a significant increase in workplace flexibility over the last decade, which coincides with global shifts toward employee-centric work arrangements.</w:t>
      </w:r>
    </w:p>
    <w:p w14:paraId="08ED51BF" w14:textId="77777777" w:rsidR="00227727" w:rsidRPr="00227727" w:rsidRDefault="00227727" w:rsidP="00227727">
      <w:pPr>
        <w:spacing w:line="360" w:lineRule="auto"/>
        <w:jc w:val="center"/>
        <w:rPr>
          <w:rFonts w:ascii="Arial" w:hAnsi="Arial" w:cs="Arial"/>
          <w:sz w:val="24"/>
          <w:szCs w:val="24"/>
        </w:rPr>
      </w:pPr>
      <w:r w:rsidRPr="00227727">
        <w:rPr>
          <w:rFonts w:ascii="Arial" w:hAnsi="Arial" w:cs="Arial"/>
          <w:noProof/>
          <w:sz w:val="24"/>
          <w:szCs w:val="24"/>
        </w:rPr>
        <w:drawing>
          <wp:inline distT="0" distB="0" distL="0" distR="0" wp14:anchorId="4D0CCD13" wp14:editId="33F3C0E4">
            <wp:extent cx="5836920" cy="3675098"/>
            <wp:effectExtent l="0" t="0" r="0" b="1905"/>
            <wp:docPr id="5" name="Picture 5" descr="A graph of blue bar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blue bars with numbers&#10;&#10;AI-generated content may be incorrect."/>
                    <pic:cNvPicPr/>
                  </pic:nvPicPr>
                  <pic:blipFill>
                    <a:blip r:embed="rId12"/>
                    <a:stretch>
                      <a:fillRect/>
                    </a:stretch>
                  </pic:blipFill>
                  <pic:spPr>
                    <a:xfrm>
                      <a:off x="0" y="0"/>
                      <a:ext cx="5843742" cy="3679393"/>
                    </a:xfrm>
                    <a:prstGeom prst="rect">
                      <a:avLst/>
                    </a:prstGeom>
                  </pic:spPr>
                </pic:pic>
              </a:graphicData>
            </a:graphic>
          </wp:inline>
        </w:drawing>
      </w:r>
    </w:p>
    <w:p w14:paraId="1365B41A" w14:textId="77777777" w:rsidR="00227727" w:rsidRPr="00227727" w:rsidRDefault="00227727" w:rsidP="00227727">
      <w:pPr>
        <w:spacing w:after="0" w:line="360" w:lineRule="auto"/>
        <w:jc w:val="center"/>
        <w:rPr>
          <w:rFonts w:ascii="Arial" w:hAnsi="Arial" w:cs="Arial"/>
          <w:sz w:val="24"/>
          <w:szCs w:val="24"/>
        </w:rPr>
      </w:pPr>
      <w:r w:rsidRPr="00227727">
        <w:rPr>
          <w:rFonts w:ascii="Arial" w:hAnsi="Arial" w:cs="Arial"/>
          <w:b/>
          <w:sz w:val="24"/>
          <w:szCs w:val="24"/>
        </w:rPr>
        <w:t>Figure 2.3.</w:t>
      </w:r>
      <w:r w:rsidRPr="00227727">
        <w:rPr>
          <w:rFonts w:ascii="Arial" w:hAnsi="Arial" w:cs="Arial"/>
          <w:sz w:val="24"/>
          <w:szCs w:val="24"/>
        </w:rPr>
        <w:t xml:space="preserve"> Number of employees that are able to work flexi-time hours in the UK [2013-2024]</w:t>
      </w:r>
    </w:p>
    <w:p w14:paraId="3FBB0743" w14:textId="77777777" w:rsidR="00227727" w:rsidRPr="00227727" w:rsidRDefault="00227727" w:rsidP="00227727">
      <w:pPr>
        <w:spacing w:line="360" w:lineRule="auto"/>
        <w:jc w:val="center"/>
        <w:rPr>
          <w:rFonts w:ascii="Arial" w:hAnsi="Arial" w:cs="Arial"/>
          <w:sz w:val="20"/>
          <w:szCs w:val="24"/>
        </w:rPr>
      </w:pPr>
      <w:r w:rsidRPr="00227727">
        <w:rPr>
          <w:rFonts w:ascii="Arial" w:hAnsi="Arial" w:cs="Arial"/>
          <w:b/>
          <w:sz w:val="20"/>
          <w:szCs w:val="24"/>
        </w:rPr>
        <w:t xml:space="preserve">Source: </w:t>
      </w:r>
      <w:r w:rsidRPr="00227727">
        <w:rPr>
          <w:rFonts w:ascii="Arial" w:hAnsi="Arial" w:cs="Arial"/>
          <w:sz w:val="20"/>
          <w:szCs w:val="24"/>
        </w:rPr>
        <w:t>https://www.statista.com/statistics/415887/number-of-employees-flextime-uk/</w:t>
      </w:r>
    </w:p>
    <w:p w14:paraId="05126990"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Smarter and agile working are buzz terms in the contemporary workplace, as they allow employees to respond efficiently and quickly and enhance their wellbeing. Smarter and agile working implies flexible work settings; the organisation’s employees have the freedom to choose the most appropriate environment for them to perform their job optimally. The organisation’s employees can work anywhere, anyplace, and anytime (Bryson, Forth and Stokes, 2017). Flexible working places more emphasis on the physical location of work and choosing working hours. In contrast, smarter and agile working place more emphasis on what the workplace can offer to the employee to optimise their work performance. However, smarter working emphasises the organisation’s employees, while agile working focuses on the impact on the organisation. Both approaches assist companies in attracting and retaining talent as bright minds desire work environments that are not highly regulated, exciting, and motivating. Smarter and agile working positively impact employees’ wellbeing by breaking the </w:t>
      </w:r>
      <w:r w:rsidRPr="00227727">
        <w:rPr>
          <w:rFonts w:ascii="Arial" w:hAnsi="Arial" w:cs="Arial"/>
          <w:sz w:val="24"/>
          <w:szCs w:val="24"/>
        </w:rPr>
        <w:lastRenderedPageBreak/>
        <w:t>monotony of a complete workday spent in a single workspace, ultimately helping employees to remain engaged, innovative, and creative (</w:t>
      </w:r>
      <w:r w:rsidRPr="00227727">
        <w:rPr>
          <w:rFonts w:ascii="Arial" w:hAnsi="Arial" w:cs="Arial"/>
          <w:color w:val="222222"/>
          <w:sz w:val="24"/>
          <w:szCs w:val="24"/>
          <w:shd w:val="clear" w:color="auto" w:fill="FFFFFF"/>
        </w:rPr>
        <w:t>AlMarar et al., 2021)</w:t>
      </w:r>
      <w:r w:rsidRPr="00227727">
        <w:rPr>
          <w:rFonts w:ascii="Arial" w:hAnsi="Arial" w:cs="Arial"/>
          <w:sz w:val="24"/>
          <w:szCs w:val="24"/>
        </w:rPr>
        <w:t xml:space="preserve">. Traditional office spaces promote stimuli that punctuate employees’ days with chances encounters and unplanned conversations that lead to new and novel ideas. However, smarter, and agile work environments where employees move between spaces and explore new surroundings result in higher stimuli levels, encouraging greater creation and innovation. </w:t>
      </w:r>
    </w:p>
    <w:p w14:paraId="2E687315"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ab/>
        <w:t xml:space="preserve">Another benefit of smarter and agile working is that it discourages employees from being desk-bound for eight hours a day, thereby offsetting the risks associated with a sedentary lifestyle (Ramsay, Scholarios and Harley, 2000). A sedentary lifestyle increases the risk of a wide range of chronic conditions; it can slow metabolism in the short run, hindering the body’s ability to regulate blood pressure and blood sugar levels effectively. Smarter and agile working discourages employees from sitting for long periods and is associated with enhanced employee health and wellbeing. Even the Job Demand, Control and Support Model supports the relation between smarter working and employee well-being. The model provided by Johnson and Hall (1988) had originated as a result of identifying factors which contribute towards increased stress levels among employees. Job demands include workload, pressure, and emotional demands of an employee during his job or the way he carries his duties. In order to maintain employee well-being, it is important that a high demanding job should be teamed with high job control as well. Similarly, job control is the amount of freedom given to employees in order to navigate their entire duties based on how they seem it fits towards their own competencies. Meanwhile, job support is the amount of efforts put in by the employer to meet each need and requirement of the employee in order to help them achieve their objectives personally and professionally. Utilising this model, it avidly explains that smarter working which incorporates all the above elements of the models within its system has a positive influence over employee well-being (Hausser, et al., 2010). </w:t>
      </w:r>
    </w:p>
    <w:p w14:paraId="7813C830"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ab/>
        <w:t>Implementing smarter and agile working in the UK public sector has enabled individuals to optimise their work-life balance, enhancing wellbeing. Ultimately, a better work-life balance in the UK led to greater gender equality rights, allowing both mothers and fathers to easily juggle childcare responsibilities within their respective work duties. According to Harris (2015), London led the way in terms of public organisations that offered employees some form of agile workspace. Initially, the rise of smarter and agile working in the UK public sector was criticised. However, the COVID-19 pandemic has affected when, where and how people across the globe work, and it is now more acceptable. To avoid smarter and agile working encroaching on employees’ home lives, setting boundaries is essential (</w:t>
      </w:r>
      <w:r w:rsidRPr="00227727">
        <w:rPr>
          <w:rFonts w:ascii="Arial" w:hAnsi="Arial" w:cs="Arial"/>
          <w:color w:val="222222"/>
          <w:sz w:val="24"/>
          <w:szCs w:val="24"/>
          <w:shd w:val="clear" w:color="auto" w:fill="FFFFFF"/>
        </w:rPr>
        <w:t>Charalampous, Grant, Tramontano and Michailidis, 2019)</w:t>
      </w:r>
      <w:r w:rsidRPr="00227727">
        <w:rPr>
          <w:rFonts w:ascii="Arial" w:hAnsi="Arial" w:cs="Arial"/>
          <w:sz w:val="24"/>
          <w:szCs w:val="24"/>
        </w:rPr>
        <w:t xml:space="preserve">. For example, employees can decide on a time limit, such as 05:00 PM, after which they will not reply to any issues regarding the workplace until the next day. </w:t>
      </w:r>
    </w:p>
    <w:p w14:paraId="29F3D84B"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Employees’ subjective wellbeing increases when they do not have to commute to work, as this saves them the stress, frustration, time, and travel costs associated with commuting. Commuting is a nuisance for various employees who get frustrated during their time commuting towards work or some </w:t>
      </w:r>
      <w:r w:rsidRPr="00227727">
        <w:rPr>
          <w:rFonts w:ascii="Arial" w:hAnsi="Arial" w:cs="Arial"/>
          <w:sz w:val="24"/>
          <w:szCs w:val="24"/>
        </w:rPr>
        <w:lastRenderedPageBreak/>
        <w:t>even get annoyed by the noise pollution/traffic on the streets during office hours. Many of the employees even spend a lot of their time on commuting which can be otherwise used to carry out their tasks (Chatterjee et al., 2018). In addition, Chatterjee et al. (2018) report that mood is lower during commuting than during any other daily tasks, implying that circumventing travelling to work enhances subjective wellbeing. The findings of Halonen et al. (2020) suggest that risks of physical inactivity and poor sleep increase with long periods of commuting, especially in employees who work longer hours. Smart and agile working negates the need for commuting to the office. The time that employees save can result in a better work-life balance, including having more time for themselves and their families, and an overall improved sense of subjective wellbeing (</w:t>
      </w:r>
      <w:r w:rsidRPr="00227727">
        <w:rPr>
          <w:rFonts w:ascii="Arial" w:hAnsi="Arial" w:cs="Arial"/>
          <w:color w:val="222222"/>
          <w:sz w:val="24"/>
          <w:szCs w:val="24"/>
          <w:shd w:val="clear" w:color="auto" w:fill="FFFFFF"/>
        </w:rPr>
        <w:t xml:space="preserve">Angelici and Profeta, 2020; </w:t>
      </w:r>
      <w:r w:rsidRPr="00227727">
        <w:rPr>
          <w:rFonts w:ascii="Arial" w:hAnsi="Arial" w:cs="Arial"/>
          <w:sz w:val="24"/>
          <w:szCs w:val="24"/>
        </w:rPr>
        <w:t>Halonen et al., 2020</w:t>
      </w:r>
      <w:r w:rsidRPr="00227727">
        <w:rPr>
          <w:rFonts w:ascii="Arial" w:hAnsi="Arial" w:cs="Arial"/>
          <w:color w:val="222222"/>
          <w:sz w:val="24"/>
          <w:szCs w:val="24"/>
          <w:shd w:val="clear" w:color="auto" w:fill="FFFFFF"/>
        </w:rPr>
        <w:t>)</w:t>
      </w:r>
      <w:r w:rsidRPr="00227727">
        <w:rPr>
          <w:rFonts w:ascii="Arial" w:hAnsi="Arial" w:cs="Arial"/>
          <w:sz w:val="24"/>
          <w:szCs w:val="24"/>
        </w:rPr>
        <w:t xml:space="preserve">. </w:t>
      </w:r>
    </w:p>
    <w:p w14:paraId="0ABD7CA8"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Smarter and agile working is suitable for the UK public sector as it has a more typical workforce than the country’s private sector. The use of communication and information technology associated with smarter and agile working facilitates a conducive working environment, which has enhanced the work-life balance of the UK public sector employees (De Ménezes and Kelliher, 2011). Employees become less reliant on traditional office-based secretarial support, and they have the opportunity to work on documents from any convenient location. Pescara (2021) suggests that changes in the expectations of the UK public sector employees and the need to add value to their services drive the smarter and more agile work agenda. Moreover, the COVID-19 pandemic has driven the smarter and agile work agenda, and most UK public sector organisations now offer employees an option of working from places other than from their main offices. </w:t>
      </w:r>
    </w:p>
    <w:p w14:paraId="2263F07B"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The terms flexible, smarter, and agile working, often used interchangeably, refer to situations in which individuals worked beyond the conventional desk-based 09:00 AM to 05:00 PM traditional work model. However, smarter, and agile working differ from formal flexible working based on contractual and legal perspectives. Some UK public sector organisations choose to operate using an informal agile working arrangement, allowing their employees to work from their homes on an ad hoc basis or as needed (</w:t>
      </w:r>
      <w:r w:rsidRPr="00227727">
        <w:rPr>
          <w:rFonts w:ascii="Arial" w:hAnsi="Arial" w:cs="Arial"/>
          <w:color w:val="222222"/>
          <w:sz w:val="24"/>
          <w:szCs w:val="24"/>
          <w:shd w:val="clear" w:color="auto" w:fill="FFFFFF"/>
        </w:rPr>
        <w:t xml:space="preserve">Weerakoon and McMurray, 2021), enhancing their </w:t>
      </w:r>
      <w:r w:rsidRPr="00227727">
        <w:rPr>
          <w:rFonts w:ascii="Arial" w:hAnsi="Arial" w:cs="Arial"/>
          <w:sz w:val="24"/>
          <w:szCs w:val="24"/>
        </w:rPr>
        <w:t xml:space="preserve">subjective wellbeing. Public sector employees are provided with the flexibility to work partially or entirely from their homes or other suitable places. However, this can comprise organisations’ performance during core working hours and compress the work hours. The focus has shifted from time and attendance towards an enhanced work culture that concentrates on improved results and performance to alleviate these risks. </w:t>
      </w:r>
    </w:p>
    <w:p w14:paraId="6F0D620B"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The COVID-19 pandemic has seen approximately half of the UK working population moving towards smarter or agile working arrangements, leading to the need to understand and guarantee employees’ wellbeing within this changing paradigm. In implementing smarter and agile working in the UK public sector, employees were allowed the autonomy to decide how they wanted to execute their duties. This arrangement stipulated the days required for certain employees to be in their offices and when they were required to attend important team meetings at their workplace. Furthermore, to ensure employee subjective wellbeing and effective job performance, the UK government identified the need for a flexible, smarter, and agile working policy. The UK policy drafted aims to strike a balance between </w:t>
      </w:r>
      <w:r w:rsidRPr="00227727">
        <w:rPr>
          <w:rFonts w:ascii="Arial" w:hAnsi="Arial" w:cs="Arial"/>
          <w:sz w:val="24"/>
          <w:szCs w:val="24"/>
        </w:rPr>
        <w:lastRenderedPageBreak/>
        <w:t>flexibility and autonomy by setting appropriate boundaries to ensure optimal job performance and indicates that the government is open to exploring future flexible arrangements to improve employee morale (</w:t>
      </w:r>
      <w:r w:rsidRPr="00227727">
        <w:rPr>
          <w:rFonts w:ascii="Arial" w:hAnsi="Arial" w:cs="Arial"/>
          <w:color w:val="222222"/>
          <w:sz w:val="24"/>
          <w:szCs w:val="24"/>
          <w:shd w:val="clear" w:color="auto" w:fill="FFFFFF"/>
        </w:rPr>
        <w:t>Rawnak, 2020)</w:t>
      </w:r>
      <w:r w:rsidRPr="00227727">
        <w:rPr>
          <w:rFonts w:ascii="Arial" w:hAnsi="Arial" w:cs="Arial"/>
          <w:sz w:val="24"/>
          <w:szCs w:val="24"/>
        </w:rPr>
        <w:t>.</w:t>
      </w:r>
    </w:p>
    <w:p w14:paraId="6F772526"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In addition, the UK government, as public sector’s employer, must examine how smarter and agile working has embedded itself into employees’ working culture (</w:t>
      </w:r>
      <w:r w:rsidRPr="00227727">
        <w:rPr>
          <w:rFonts w:ascii="Arial" w:hAnsi="Arial" w:cs="Arial"/>
          <w:color w:val="222222"/>
          <w:sz w:val="24"/>
          <w:szCs w:val="24"/>
          <w:shd w:val="clear" w:color="auto" w:fill="FFFFFF"/>
        </w:rPr>
        <w:t>Mangiavacchi, Piccoli and Pieroni, 2021)</w:t>
      </w:r>
      <w:r w:rsidRPr="00227727">
        <w:rPr>
          <w:rFonts w:ascii="Arial" w:hAnsi="Arial" w:cs="Arial"/>
          <w:sz w:val="24"/>
          <w:szCs w:val="24"/>
        </w:rPr>
        <w:t>. This includes exploring if and how smarter and agile working has enhanced UK public sector employees’ wellbeing and general engagement</w:t>
      </w:r>
      <w:r w:rsidRPr="00227727">
        <w:rPr>
          <w:rStyle w:val="CommentReference"/>
          <w:rFonts w:ascii="Arial" w:hAnsi="Arial" w:cs="Arial"/>
          <w:sz w:val="24"/>
          <w:szCs w:val="24"/>
        </w:rPr>
        <w:t>, and</w:t>
      </w:r>
      <w:r w:rsidRPr="00227727">
        <w:rPr>
          <w:rFonts w:ascii="Arial" w:hAnsi="Arial" w:cs="Arial"/>
          <w:sz w:val="24"/>
          <w:szCs w:val="24"/>
        </w:rPr>
        <w:t xml:space="preserve"> client satisfaction with the public sector services. </w:t>
      </w:r>
    </w:p>
    <w:p w14:paraId="48D904E3"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Allowing such freedom and flexibility towards employees’ regarding their jobs and responsibilities thus, improves their well-being due to improved work environment, work life balance and the degree of freedom, based on which the following hypotheses have been derived: </w:t>
      </w:r>
    </w:p>
    <w:p w14:paraId="489D4976" w14:textId="77777777" w:rsidR="00227727" w:rsidRPr="00227727" w:rsidRDefault="00227727" w:rsidP="00227727">
      <w:pPr>
        <w:spacing w:line="360" w:lineRule="auto"/>
        <w:jc w:val="both"/>
        <w:rPr>
          <w:rFonts w:ascii="Arial" w:hAnsi="Arial" w:cs="Arial"/>
          <w:i/>
          <w:iCs/>
          <w:sz w:val="24"/>
          <w:szCs w:val="24"/>
        </w:rPr>
      </w:pPr>
      <w:r w:rsidRPr="00227727">
        <w:rPr>
          <w:rFonts w:ascii="Arial" w:hAnsi="Arial" w:cs="Arial"/>
          <w:i/>
          <w:iCs/>
          <w:sz w:val="24"/>
          <w:szCs w:val="24"/>
        </w:rPr>
        <w:t>H</w:t>
      </w:r>
      <w:r w:rsidRPr="00227727">
        <w:rPr>
          <w:rFonts w:ascii="Arial" w:hAnsi="Arial" w:cs="Arial"/>
          <w:i/>
          <w:iCs/>
          <w:sz w:val="24"/>
          <w:szCs w:val="24"/>
          <w:vertAlign w:val="subscript"/>
        </w:rPr>
        <w:t>2</w:t>
      </w:r>
      <w:r w:rsidRPr="00227727">
        <w:rPr>
          <w:rFonts w:ascii="Arial" w:hAnsi="Arial" w:cs="Arial"/>
          <w:i/>
          <w:iCs/>
          <w:sz w:val="24"/>
          <w:szCs w:val="24"/>
        </w:rPr>
        <w:t>: Smarter working is positively and negatively related to employees’ well-being in public organisations</w:t>
      </w:r>
    </w:p>
    <w:p w14:paraId="55181B44" w14:textId="77777777" w:rsidR="00227727" w:rsidRPr="00227727" w:rsidRDefault="00227727" w:rsidP="00227727">
      <w:pPr>
        <w:spacing w:line="360" w:lineRule="auto"/>
        <w:jc w:val="both"/>
        <w:rPr>
          <w:rFonts w:ascii="Arial" w:hAnsi="Arial" w:cs="Arial"/>
          <w:i/>
          <w:iCs/>
          <w:sz w:val="24"/>
          <w:szCs w:val="24"/>
        </w:rPr>
      </w:pPr>
      <w:r w:rsidRPr="00227727">
        <w:rPr>
          <w:rFonts w:ascii="Arial" w:hAnsi="Arial" w:cs="Arial"/>
          <w:i/>
          <w:iCs/>
          <w:sz w:val="24"/>
          <w:szCs w:val="24"/>
        </w:rPr>
        <w:t>H</w:t>
      </w:r>
      <w:r w:rsidRPr="00227727">
        <w:rPr>
          <w:rFonts w:ascii="Arial" w:hAnsi="Arial" w:cs="Arial"/>
          <w:i/>
          <w:iCs/>
          <w:sz w:val="24"/>
          <w:szCs w:val="24"/>
          <w:vertAlign w:val="subscript"/>
        </w:rPr>
        <w:t>2a</w:t>
      </w:r>
      <w:r w:rsidRPr="00227727">
        <w:rPr>
          <w:rFonts w:ascii="Arial" w:hAnsi="Arial" w:cs="Arial"/>
          <w:i/>
          <w:iCs/>
          <w:sz w:val="24"/>
          <w:szCs w:val="24"/>
        </w:rPr>
        <w:t>: Smarter working is positively related to employees’ job satisfaction in public organisations</w:t>
      </w:r>
    </w:p>
    <w:p w14:paraId="18DAF305" w14:textId="77777777" w:rsidR="00227727" w:rsidRPr="00227727" w:rsidRDefault="00227727" w:rsidP="00227727">
      <w:pPr>
        <w:spacing w:line="360" w:lineRule="auto"/>
        <w:jc w:val="both"/>
        <w:rPr>
          <w:rFonts w:ascii="Arial" w:hAnsi="Arial" w:cs="Arial"/>
          <w:i/>
          <w:iCs/>
          <w:sz w:val="24"/>
          <w:szCs w:val="24"/>
        </w:rPr>
      </w:pPr>
      <w:r w:rsidRPr="00227727">
        <w:rPr>
          <w:rFonts w:ascii="Arial" w:hAnsi="Arial" w:cs="Arial"/>
          <w:i/>
          <w:iCs/>
          <w:sz w:val="24"/>
          <w:szCs w:val="24"/>
        </w:rPr>
        <w:t>H</w:t>
      </w:r>
      <w:r w:rsidRPr="00227727">
        <w:rPr>
          <w:rFonts w:ascii="Arial" w:hAnsi="Arial" w:cs="Arial"/>
          <w:i/>
          <w:iCs/>
          <w:sz w:val="24"/>
          <w:szCs w:val="24"/>
          <w:vertAlign w:val="subscript"/>
        </w:rPr>
        <w:t xml:space="preserve">2b: </w:t>
      </w:r>
      <w:r w:rsidRPr="00227727">
        <w:rPr>
          <w:rFonts w:ascii="Arial" w:hAnsi="Arial" w:cs="Arial"/>
          <w:i/>
          <w:iCs/>
          <w:sz w:val="24"/>
          <w:szCs w:val="24"/>
        </w:rPr>
        <w:t xml:space="preserve"> Smarter working is negatively related to employees’ stress in public organisations</w:t>
      </w:r>
    </w:p>
    <w:p w14:paraId="22A9CF33" w14:textId="77777777" w:rsidR="00227727" w:rsidRPr="00227727" w:rsidRDefault="00227727" w:rsidP="00227727">
      <w:pPr>
        <w:pStyle w:val="Heading4"/>
        <w:rPr>
          <w:rFonts w:ascii="Arial" w:hAnsi="Arial" w:cs="Arial"/>
        </w:rPr>
      </w:pPr>
      <w:bookmarkStart w:id="10" w:name="_Toc81045589"/>
      <w:r w:rsidRPr="00227727">
        <w:rPr>
          <w:rFonts w:ascii="Arial" w:hAnsi="Arial" w:cs="Arial"/>
        </w:rPr>
        <w:t>Employee Well-being and Job Performance</w:t>
      </w:r>
      <w:bookmarkEnd w:id="10"/>
    </w:p>
    <w:p w14:paraId="677E9CD5"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Employee wellbeing or welfare is a </w:t>
      </w:r>
      <w:r w:rsidRPr="00227727">
        <w:rPr>
          <w:rFonts w:ascii="Arial" w:hAnsi="Arial" w:cs="Arial"/>
          <w:i/>
          <w:sz w:val="24"/>
          <w:szCs w:val="24"/>
        </w:rPr>
        <w:t>‘legitimate target of government policy’</w:t>
      </w:r>
      <w:r w:rsidRPr="00227727">
        <w:rPr>
          <w:rFonts w:ascii="Arial" w:hAnsi="Arial" w:cs="Arial"/>
          <w:sz w:val="24"/>
          <w:szCs w:val="24"/>
        </w:rPr>
        <w:t xml:space="preserve"> and an important focus of the UK and other governments (Bryson, Forth and Stokes, 2014). Enhanced wellbeing might be conducive to economic growth. Employees’ subjective wellbeing and its potential impact on work performance are essential in the contemporary world, despite little empirical evidence to support the relationship (Guest, 2017). Recent reports on public policy and wellbeing highlighted that countries desire to measure how well they perform based on employee performance. In addition, the reports indicate that improved or enhanced employees’ wellbeing resulted in positive emotions, higher morale, less stress, and higher levels of job satisfaction (Davidescu, Apostu, Paul and Casuneanu, 2020). Furthermore, enhancing employee wellbeing by implementing smarter and agile working approaches</w:t>
      </w:r>
      <w:r w:rsidRPr="00227727" w:rsidDel="00170635">
        <w:rPr>
          <w:rFonts w:ascii="Arial" w:hAnsi="Arial" w:cs="Arial"/>
          <w:sz w:val="24"/>
          <w:szCs w:val="24"/>
        </w:rPr>
        <w:t xml:space="preserve"> </w:t>
      </w:r>
      <w:r w:rsidRPr="00227727">
        <w:rPr>
          <w:rFonts w:ascii="Arial" w:hAnsi="Arial" w:cs="Arial"/>
          <w:sz w:val="24"/>
          <w:szCs w:val="24"/>
        </w:rPr>
        <w:t>improved organisational productivity and performance. Enhanced employee wellbeing reduces employee withdrawal behaviour and results in fewer negative behaviours, such as staff turnover, stress leave and unexplained absences (</w:t>
      </w:r>
      <w:r w:rsidRPr="00227727">
        <w:rPr>
          <w:rFonts w:ascii="Arial" w:hAnsi="Arial" w:cs="Arial"/>
          <w:color w:val="222222"/>
          <w:sz w:val="24"/>
          <w:szCs w:val="24"/>
          <w:shd w:val="clear" w:color="auto" w:fill="FFFFFF"/>
        </w:rPr>
        <w:t>Hopkins and McKay, 2019)</w:t>
      </w:r>
      <w:r w:rsidRPr="00227727">
        <w:rPr>
          <w:rFonts w:ascii="Arial" w:hAnsi="Arial" w:cs="Arial"/>
          <w:sz w:val="24"/>
          <w:szCs w:val="24"/>
        </w:rPr>
        <w:t>.</w:t>
      </w:r>
    </w:p>
    <w:p w14:paraId="7F539841" w14:textId="77777777" w:rsidR="00227727" w:rsidRPr="00227727" w:rsidRDefault="00227727" w:rsidP="00227727">
      <w:pPr>
        <w:spacing w:after="0" w:line="360" w:lineRule="auto"/>
        <w:ind w:firstLine="360"/>
        <w:jc w:val="both"/>
        <w:rPr>
          <w:rFonts w:ascii="Arial" w:hAnsi="Arial" w:cs="Arial"/>
          <w:sz w:val="24"/>
          <w:szCs w:val="24"/>
        </w:rPr>
      </w:pPr>
      <w:r w:rsidRPr="00227727">
        <w:rPr>
          <w:rFonts w:ascii="Arial" w:hAnsi="Arial" w:cs="Arial"/>
          <w:sz w:val="24"/>
          <w:szCs w:val="24"/>
        </w:rPr>
        <w:t xml:space="preserve">Furthermore, failure to improve the welfare of employees ultimately resulted in an increase in uncertified sick leave, staff turnover, and even stress-related compensation claims by employees. However, it is prudent to note that welfare improvement does not necessarily imply reducing workplace stressors and avoiding distressing situations. It is essential to foster positive experiences and emotions towards work activities (Piening, Baluch and Salge, 2013). The lack of positive experiences and morale was more likely to cause stress than the specific negative stressors or experiences. One of the most substantial factors that influenced employees’ wellbeing is morale. Employees’ morale is greatly affected by the organisational climate, including the overall workplace culture and conditions. </w:t>
      </w:r>
      <w:r w:rsidRPr="00227727">
        <w:rPr>
          <w:rFonts w:ascii="Arial" w:hAnsi="Arial" w:cs="Arial"/>
          <w:sz w:val="24"/>
          <w:szCs w:val="24"/>
        </w:rPr>
        <w:lastRenderedPageBreak/>
        <w:t xml:space="preserve">Enhancements in the working environment, such as staff recognition, leadership and decision-making procedures or processes, effectively increase staff morale and reduce stress (Burns and Machin, 2013). According to Di Nicola (2017), this approach increases productivity and decreases compensation costs. Furthermore, there is an excellent relationship between employee wellbeing and increased performance in smarter and agile work environments. </w:t>
      </w:r>
    </w:p>
    <w:p w14:paraId="4504DFA3" w14:textId="77777777" w:rsidR="00227727" w:rsidRPr="00227727" w:rsidRDefault="00227727" w:rsidP="00227727">
      <w:pPr>
        <w:spacing w:after="0" w:line="360" w:lineRule="auto"/>
        <w:ind w:firstLine="360"/>
        <w:jc w:val="both"/>
        <w:rPr>
          <w:rFonts w:ascii="Arial" w:hAnsi="Arial" w:cs="Arial"/>
          <w:sz w:val="24"/>
          <w:szCs w:val="24"/>
        </w:rPr>
      </w:pPr>
      <w:r w:rsidRPr="00227727">
        <w:rPr>
          <w:rFonts w:ascii="Arial" w:hAnsi="Arial" w:cs="Arial"/>
          <w:sz w:val="24"/>
          <w:szCs w:val="24"/>
        </w:rPr>
        <w:t>Wellbeing implies more than simply avoiding stressful experiences. A lack of confidence, interest, and positive relationships in the workplace hampers employees’ wellbeing, affecting their work performance. Organisations can enhance wellbeing by making employees feel supported, valued, and productive. Promoting positive emotions and attitudes towards work rather than avoiding demanding situations appears to be one essential strategy to combat occupational stress (Burns and Machin, 2013). Investments in employee’s wellbeing can result in intangible benefits to organisations’ bottom line. Some employees reported experiencing higher wellbeing when employers implemented smarter working as they could work from the comfort of their homes in their own time, ultimately resulted in higher productivity and performance (Totterdil, Dhondt and Devons, 2016).</w:t>
      </w:r>
    </w:p>
    <w:p w14:paraId="67044AF3" w14:textId="77777777" w:rsidR="00227727" w:rsidRPr="00227727" w:rsidRDefault="00227727" w:rsidP="00227727">
      <w:pPr>
        <w:spacing w:after="0" w:line="360" w:lineRule="auto"/>
        <w:ind w:firstLine="360"/>
        <w:jc w:val="both"/>
        <w:rPr>
          <w:rFonts w:ascii="Arial" w:hAnsi="Arial" w:cs="Arial"/>
          <w:sz w:val="24"/>
          <w:szCs w:val="24"/>
        </w:rPr>
      </w:pPr>
      <w:r w:rsidRPr="00227727">
        <w:rPr>
          <w:rFonts w:ascii="Arial" w:hAnsi="Arial" w:cs="Arial"/>
          <w:sz w:val="24"/>
          <w:szCs w:val="24"/>
        </w:rPr>
        <w:t>According to the self-determination theory (Ryan and Deci, 2000), higher employees’ wellbeing is associated with higher morale, resulting in higher productivity and performance (</w:t>
      </w:r>
      <w:r w:rsidRPr="00227727">
        <w:rPr>
          <w:rFonts w:ascii="Arial" w:hAnsi="Arial" w:cs="Arial"/>
          <w:color w:val="222222"/>
          <w:sz w:val="24"/>
          <w:szCs w:val="24"/>
          <w:shd w:val="clear" w:color="auto" w:fill="FFFFFF"/>
        </w:rPr>
        <w:t>Petrillo, De Felice and Petrillo, 2021)</w:t>
      </w:r>
      <w:r w:rsidRPr="00227727">
        <w:rPr>
          <w:rFonts w:ascii="Arial" w:hAnsi="Arial" w:cs="Arial"/>
          <w:sz w:val="24"/>
          <w:szCs w:val="24"/>
        </w:rPr>
        <w:t>. The theory of emotion also proposes that employees’ emotional state affects their productivity and performance. Accordingly, a strong relationship between employees’ wellbeing and their work performance exists. In addition, employees’ positive emotions result in heightened motivation, leading to enhanced job outcomes and organisational citizenship. Therefore, as global organisations strived to become and remain successful, their employees must be kept in a ‘good state of health ‘(</w:t>
      </w:r>
      <w:r w:rsidRPr="00227727">
        <w:rPr>
          <w:rFonts w:ascii="Arial" w:hAnsi="Arial" w:cs="Arial"/>
          <w:color w:val="222222"/>
          <w:sz w:val="24"/>
          <w:szCs w:val="24"/>
          <w:shd w:val="clear" w:color="auto" w:fill="FFFFFF"/>
        </w:rPr>
        <w:t xml:space="preserve">Anka, Thacker and Penhale, 2020), as poor </w:t>
      </w:r>
      <w:r w:rsidRPr="00227727">
        <w:rPr>
          <w:rFonts w:ascii="Arial" w:hAnsi="Arial" w:cs="Arial"/>
          <w:sz w:val="24"/>
          <w:szCs w:val="24"/>
        </w:rPr>
        <w:t xml:space="preserve">employee wellbeing could ultimately lead to unsatisfactory job performance. Therefore, employees’ health and wellbeing are being given greater attention in the UK and globally as they are emerging as vital factors in organisational success. Literature highlights that, even though excessive work is not the primary cause of ill health among employees, it significantly impacts employees’ health and the pressure they experience in the workplace. Enhanced wellbeing is associated with environments that employees find rewarding, stimulating, enjoyable and exciting. </w:t>
      </w:r>
    </w:p>
    <w:p w14:paraId="2ABC4B35"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According to </w:t>
      </w:r>
      <w:r w:rsidRPr="00227727">
        <w:rPr>
          <w:rFonts w:ascii="Arial" w:hAnsi="Arial" w:cs="Arial"/>
          <w:color w:val="222222"/>
          <w:sz w:val="24"/>
          <w:szCs w:val="24"/>
          <w:shd w:val="clear" w:color="auto" w:fill="FFFFFF"/>
        </w:rPr>
        <w:t xml:space="preserve">Errichiello and Pianese (2019), </w:t>
      </w:r>
      <w:r w:rsidRPr="00227727">
        <w:rPr>
          <w:rFonts w:ascii="Arial" w:hAnsi="Arial" w:cs="Arial"/>
          <w:sz w:val="24"/>
          <w:szCs w:val="24"/>
        </w:rPr>
        <w:t xml:space="preserve">stress is the major cause of the contemporary world’s issues, a by-product of modern life and an aspect of various work, home and personal activities. Pressurising an organisation’s employees with various work demands that they cannot cope with results in stress, negatively impacting employees and job performance. In addition, implementing smarter and agile working impacts employees’ daily schedules and activities, which may lead to stress and influence job performance. </w:t>
      </w:r>
      <w:r w:rsidRPr="00227727">
        <w:rPr>
          <w:rFonts w:ascii="Arial" w:hAnsi="Arial" w:cs="Arial"/>
          <w:color w:val="222222"/>
          <w:sz w:val="24"/>
          <w:szCs w:val="24"/>
          <w:shd w:val="clear" w:color="auto" w:fill="FFFFFF"/>
        </w:rPr>
        <w:t xml:space="preserve"> Errichiello and Pianese (2019) also </w:t>
      </w:r>
      <w:r w:rsidRPr="00227727">
        <w:rPr>
          <w:rFonts w:ascii="Arial" w:hAnsi="Arial" w:cs="Arial"/>
          <w:sz w:val="24"/>
          <w:szCs w:val="24"/>
        </w:rPr>
        <w:t>acknowledged that it is essential and healthy for employees in organisations to experience some form of changelessness that generates pressure; it may improve employee performance and enhance the quality of their lives. However, the pressure that individuals face in UK organisations can result in excessive stress (</w:t>
      </w:r>
      <w:r w:rsidRPr="00227727">
        <w:rPr>
          <w:rFonts w:ascii="Arial" w:hAnsi="Arial" w:cs="Arial"/>
          <w:color w:val="222222"/>
          <w:sz w:val="24"/>
          <w:szCs w:val="24"/>
          <w:shd w:val="clear" w:color="auto" w:fill="FFFFFF"/>
        </w:rPr>
        <w:t>Rainero and Modarelli, 2020)</w:t>
      </w:r>
      <w:r w:rsidRPr="00227727">
        <w:rPr>
          <w:rFonts w:ascii="Arial" w:hAnsi="Arial" w:cs="Arial"/>
          <w:sz w:val="24"/>
          <w:szCs w:val="24"/>
        </w:rPr>
        <w:t xml:space="preserve">. Other factors which result in stress among organisational employees included but are </w:t>
      </w:r>
      <w:r w:rsidRPr="00227727">
        <w:rPr>
          <w:rFonts w:ascii="Arial" w:hAnsi="Arial" w:cs="Arial"/>
          <w:sz w:val="24"/>
          <w:szCs w:val="24"/>
        </w:rPr>
        <w:lastRenderedPageBreak/>
        <w:t>not limited to lack of appropriate training, lack of autonomy or control, lack of involvement at workplaces, and poor workplace relationships among employees.</w:t>
      </w:r>
    </w:p>
    <w:p w14:paraId="149DFE8F" w14:textId="1C9C3B61"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Leaders who value employees’ skills boost job satisfaction. Competence positively and significantly </w:t>
      </w:r>
      <w:r w:rsidR="00351EFC" w:rsidRPr="00227727">
        <w:rPr>
          <w:rFonts w:ascii="Arial" w:hAnsi="Arial" w:cs="Arial"/>
          <w:sz w:val="24"/>
          <w:szCs w:val="24"/>
        </w:rPr>
        <w:t>affects</w:t>
      </w:r>
      <w:r w:rsidRPr="00227727">
        <w:rPr>
          <w:rFonts w:ascii="Arial" w:hAnsi="Arial" w:cs="Arial"/>
          <w:sz w:val="24"/>
          <w:szCs w:val="24"/>
        </w:rPr>
        <w:t xml:space="preserve"> job satisfaction (Yazdanfar et al., 2014; Renyut et al., 2017). Renyut et al. (2017) found that knowledge, skills, attitude management, professionalism, and experience strongly affect job satisfaction. This suggests that well-developed competencies boost job satisfaction. High job satisfaction improves performance (Hayati and Caniago, 2012; Platisa et al., 2015). Hayati and Caniago (2012) found that job satisfaction affects employee performance, while Platisa et al. (2015) found that work quality is crucial. According to theoretical and empirical evidence, employee competence and job satisfaction are strongly correlated, emphasising the importance of employee development in organisations.</w:t>
      </w:r>
    </w:p>
    <w:p w14:paraId="0C3B604F"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Anger, insecurity, and frustration cause stress in everyday life. Although stress is often seen as negative, it can have positive effects. Stress can boost performance in moderation, but too much can harm health (KCHC, 2010). Life events like leadership, decision-making, learning, and promotions cause stress. These situations are unavoidable, but positive stress, or eustress, can motivate people to work hard and succeed. Stress keeps people challenged, productive, and motivated (Venkatesh and Ram, 2015). People react to their surroundings differently, shaping their behaviour and attitudes (Smith and Hibbing, 2011). Stress cannot be eliminated, but constructive response is key. Stress can harm mental and physical health (Bauer and Erdogan, 2010). Unmet goals and needs cause stress, which is linked to physical and mental health (Michie, 2002). Occupational or job stress is linked to employees, their roles, and their performance (Zhu et al., 2017). Job stress impacts employees’ personal and professional lives (Vijayan, 2017). Research estimates that stress-related conditions like depression and anxiety cost 16 working days per year, with 40 to 60% of workers reporting negative health and work-life balance impacts (Ehsan and Ali, 2019). Prolonged or unmanaged stress can lower employee performance and increase absenteeism and turnover due to stress-related health issues (Abbas &amp; Kumari, 2021).</w:t>
      </w:r>
    </w:p>
    <w:p w14:paraId="5CEA7E8E"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The subjective wellbeing of individuals in the UK is associated with enhanced job performance and smarter or agile working. An individual’s subjective wellbeing at the workplace is influenced by their personal characteristics and those of other employees at their workplaces (</w:t>
      </w:r>
      <w:r w:rsidRPr="00227727">
        <w:rPr>
          <w:rFonts w:ascii="Arial" w:hAnsi="Arial" w:cs="Arial"/>
          <w:color w:val="222222"/>
          <w:sz w:val="24"/>
          <w:szCs w:val="24"/>
          <w:shd w:val="clear" w:color="auto" w:fill="FFFFFF"/>
        </w:rPr>
        <w:t>Mari et al., 2021)</w:t>
      </w:r>
      <w:r w:rsidRPr="00227727">
        <w:rPr>
          <w:rFonts w:ascii="Arial" w:hAnsi="Arial" w:cs="Arial"/>
          <w:sz w:val="24"/>
          <w:szCs w:val="24"/>
        </w:rPr>
        <w:t>. It is also important for the UK government to recognise the relationship between an individual’s characteristics and subjective wellbeing, because it shapes employees’ work experiences. Importantly, individuals’ subjective wellbeing tends to be higher when employees have the autonomy to decide on their job tasks, and there are positive interpersonal relationships between managers and their employees. In addition, job performance is reportedly higher when employees have autonomy or control over executing their duties. Based on the literature pieces of evidence, the study offers the research hypotheses:</w:t>
      </w:r>
    </w:p>
    <w:p w14:paraId="2B05EED8" w14:textId="77777777" w:rsidR="00227727" w:rsidRPr="00227727" w:rsidRDefault="00227727" w:rsidP="00227727">
      <w:pPr>
        <w:spacing w:line="360" w:lineRule="auto"/>
        <w:jc w:val="both"/>
        <w:rPr>
          <w:rFonts w:ascii="Arial" w:hAnsi="Arial" w:cs="Arial"/>
          <w:i/>
          <w:iCs/>
          <w:sz w:val="24"/>
          <w:szCs w:val="24"/>
        </w:rPr>
      </w:pPr>
      <w:r w:rsidRPr="00227727">
        <w:rPr>
          <w:rFonts w:ascii="Arial" w:hAnsi="Arial" w:cs="Arial"/>
          <w:i/>
          <w:iCs/>
          <w:sz w:val="24"/>
          <w:szCs w:val="24"/>
        </w:rPr>
        <w:t>H</w:t>
      </w:r>
      <w:r w:rsidRPr="00227727">
        <w:rPr>
          <w:rFonts w:ascii="Arial" w:hAnsi="Arial" w:cs="Arial"/>
          <w:i/>
          <w:iCs/>
          <w:sz w:val="24"/>
          <w:szCs w:val="24"/>
          <w:vertAlign w:val="subscript"/>
        </w:rPr>
        <w:t>3</w:t>
      </w:r>
      <w:r w:rsidRPr="00227727">
        <w:rPr>
          <w:rFonts w:ascii="Arial" w:hAnsi="Arial" w:cs="Arial"/>
          <w:i/>
          <w:iCs/>
          <w:sz w:val="24"/>
          <w:szCs w:val="24"/>
        </w:rPr>
        <w:t>: Employees’ well-being is positively related to job performance in public organisations</w:t>
      </w:r>
    </w:p>
    <w:p w14:paraId="1DA8A578" w14:textId="77777777" w:rsidR="00227727" w:rsidRPr="00227727" w:rsidRDefault="00227727" w:rsidP="00227727">
      <w:pPr>
        <w:spacing w:line="360" w:lineRule="auto"/>
        <w:jc w:val="both"/>
        <w:rPr>
          <w:rFonts w:ascii="Arial" w:hAnsi="Arial" w:cs="Arial"/>
          <w:i/>
          <w:iCs/>
          <w:sz w:val="24"/>
          <w:szCs w:val="24"/>
        </w:rPr>
      </w:pPr>
      <w:r w:rsidRPr="00227727">
        <w:rPr>
          <w:rFonts w:ascii="Arial" w:hAnsi="Arial" w:cs="Arial"/>
          <w:i/>
          <w:iCs/>
          <w:sz w:val="24"/>
          <w:szCs w:val="24"/>
        </w:rPr>
        <w:lastRenderedPageBreak/>
        <w:t>H</w:t>
      </w:r>
      <w:r w:rsidRPr="00227727">
        <w:rPr>
          <w:rFonts w:ascii="Arial" w:hAnsi="Arial" w:cs="Arial"/>
          <w:i/>
          <w:iCs/>
          <w:sz w:val="24"/>
          <w:szCs w:val="24"/>
          <w:vertAlign w:val="subscript"/>
        </w:rPr>
        <w:t>3a</w:t>
      </w:r>
      <w:r w:rsidRPr="00227727">
        <w:rPr>
          <w:rFonts w:ascii="Arial" w:hAnsi="Arial" w:cs="Arial"/>
          <w:i/>
          <w:iCs/>
          <w:sz w:val="24"/>
          <w:szCs w:val="24"/>
        </w:rPr>
        <w:t>: Employees’ satisfaction is positively related to job performance in public organisations</w:t>
      </w:r>
    </w:p>
    <w:p w14:paraId="69E0ADA1" w14:textId="77777777" w:rsidR="00227727" w:rsidRPr="00227727" w:rsidRDefault="00227727" w:rsidP="00227727">
      <w:pPr>
        <w:spacing w:line="360" w:lineRule="auto"/>
        <w:jc w:val="both"/>
        <w:rPr>
          <w:rFonts w:ascii="Arial" w:hAnsi="Arial" w:cs="Arial"/>
          <w:i/>
          <w:iCs/>
          <w:sz w:val="24"/>
          <w:szCs w:val="24"/>
        </w:rPr>
      </w:pPr>
      <w:r w:rsidRPr="00227727">
        <w:rPr>
          <w:rFonts w:ascii="Arial" w:hAnsi="Arial" w:cs="Arial"/>
          <w:i/>
          <w:iCs/>
          <w:sz w:val="24"/>
          <w:szCs w:val="24"/>
        </w:rPr>
        <w:t>H</w:t>
      </w:r>
      <w:r w:rsidRPr="00227727">
        <w:rPr>
          <w:rFonts w:ascii="Arial" w:hAnsi="Arial" w:cs="Arial"/>
          <w:i/>
          <w:iCs/>
          <w:sz w:val="24"/>
          <w:szCs w:val="24"/>
          <w:vertAlign w:val="subscript"/>
        </w:rPr>
        <w:t xml:space="preserve">3b: </w:t>
      </w:r>
      <w:r w:rsidRPr="00227727">
        <w:rPr>
          <w:rFonts w:ascii="Arial" w:hAnsi="Arial" w:cs="Arial"/>
          <w:i/>
          <w:iCs/>
          <w:sz w:val="24"/>
          <w:szCs w:val="24"/>
        </w:rPr>
        <w:t xml:space="preserve"> Employees’ stress is negatively related to job performance in public organisations</w:t>
      </w:r>
    </w:p>
    <w:p w14:paraId="6B71ECCD" w14:textId="77777777" w:rsidR="00227727" w:rsidRPr="00227727" w:rsidRDefault="00227727" w:rsidP="00227727">
      <w:pPr>
        <w:pStyle w:val="Heading4"/>
        <w:rPr>
          <w:rFonts w:ascii="Arial" w:hAnsi="Arial" w:cs="Arial"/>
        </w:rPr>
      </w:pPr>
      <w:r w:rsidRPr="00227727">
        <w:rPr>
          <w:rFonts w:ascii="Arial" w:hAnsi="Arial" w:cs="Arial"/>
        </w:rPr>
        <w:t>Employee Well-being, Smarter Working and Job Performance</w:t>
      </w:r>
    </w:p>
    <w:p w14:paraId="0C966338"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Greater employee autonomy, which is associated with smarter and agile working, enhances employee wellbeing and increases productivity. Employees are encouraged to work with maximum flexibility and minimum constraints. Allowing employees to take complete control of their working day, including when, where and how they work, plays a critical role in organisations’ overall success (</w:t>
      </w:r>
      <w:r w:rsidRPr="00227727">
        <w:rPr>
          <w:rFonts w:ascii="Arial" w:hAnsi="Arial" w:cs="Arial"/>
          <w:color w:val="222222"/>
          <w:sz w:val="24"/>
          <w:szCs w:val="24"/>
          <w:shd w:val="clear" w:color="auto" w:fill="FFFFFF"/>
        </w:rPr>
        <w:t>Cheese, 2020)</w:t>
      </w:r>
      <w:r w:rsidRPr="00227727">
        <w:rPr>
          <w:rFonts w:ascii="Arial" w:hAnsi="Arial" w:cs="Arial"/>
          <w:sz w:val="24"/>
          <w:szCs w:val="24"/>
        </w:rPr>
        <w:t xml:space="preserve">. Employee autonomy allows them to choose to work in different environments in their preferred manner that best suits their specific job to enhance their productivity. The UK public organisations have empowered employees to work anywhere and choose how and when to work, ultimately optimising their performance to deliver superior services (De Ménezes and Kelliher, 2011). Smarter and agile working use communication and information technology, allowing employees to work in ways best suited to their individual needs without being affected by traditional limitations (De Ménezes and Kelliher, 2011). </w:t>
      </w:r>
    </w:p>
    <w:p w14:paraId="006920A8"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Few research studies (Mostafa, 2021; Gharia, Narang and Karnik, 2020) have also mentioned that allowing flexible or smarter working conditions where employees are given full autonomy regarding decisions related to their jobs increases space for stress and increased workload. Even during the pandemic, the reliance over remote working with the decreased balance between work and life has further degraded the well-being of employees. It has even led to the creation of further confusion among employees regarding how each decision would pan out and whether they will be responsible for each decision resulting in deduction of salaries (Mostafa, 2021).</w:t>
      </w:r>
    </w:p>
    <w:p w14:paraId="5C16812E"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A prevalence of empirical and theoretical literature suggests a strong causal relationship between employees’ wellbeing and job performance</w:t>
      </w:r>
      <w:r w:rsidRPr="00227727">
        <w:rPr>
          <w:rStyle w:val="CommentReference"/>
          <w:rFonts w:ascii="Arial" w:hAnsi="Arial" w:cs="Arial"/>
          <w:sz w:val="24"/>
          <w:szCs w:val="24"/>
        </w:rPr>
        <w:t>,</w:t>
      </w:r>
      <w:r w:rsidRPr="00227727">
        <w:rPr>
          <w:rFonts w:ascii="Arial" w:hAnsi="Arial" w:cs="Arial"/>
          <w:sz w:val="24"/>
          <w:szCs w:val="24"/>
        </w:rPr>
        <w:t xml:space="preserve"> with enhanced wellbeing resulting in higher performance. Consequently, many firms in the UK now prioritise employee’s wellbeing, based on the assumption that happier workers will ultimately result in improved organisational productivity and individual job performance (Wood, Veldhoven, Croon and Ménezes, 2012). The workforce’s wellbeing is essential as it determines the performance of employees and the entire organisation. Kylili et al. (2020) suggest that work overload negatively affects employee wellbeing and, therefore, job performance.</w:t>
      </w:r>
      <w:r w:rsidRPr="00227727">
        <w:rPr>
          <w:rFonts w:ascii="Arial" w:hAnsi="Arial" w:cs="Arial"/>
          <w:color w:val="222222"/>
          <w:sz w:val="24"/>
          <w:szCs w:val="24"/>
          <w:shd w:val="clear" w:color="auto" w:fill="FFFFFF"/>
        </w:rPr>
        <w:t xml:space="preserve"> </w:t>
      </w:r>
      <w:r w:rsidRPr="00227727">
        <w:rPr>
          <w:rFonts w:ascii="Arial" w:hAnsi="Arial" w:cs="Arial"/>
          <w:sz w:val="24"/>
          <w:szCs w:val="24"/>
        </w:rPr>
        <w:t>When employees are overburdened with work, they experience health and mental issues, including elevated stress leading to absence from work. If they can work, they may find it difficult to discharge their respective duties in an effective way (</w:t>
      </w:r>
      <w:r w:rsidRPr="00227727">
        <w:rPr>
          <w:rFonts w:ascii="Arial" w:hAnsi="Arial" w:cs="Arial"/>
          <w:color w:val="222222"/>
          <w:sz w:val="24"/>
          <w:szCs w:val="24"/>
          <w:shd w:val="clear" w:color="auto" w:fill="FFFFFF"/>
        </w:rPr>
        <w:t>Kylili et al., 2020)</w:t>
      </w:r>
      <w:r w:rsidRPr="00227727">
        <w:rPr>
          <w:rFonts w:ascii="Arial" w:hAnsi="Arial" w:cs="Arial"/>
          <w:sz w:val="24"/>
          <w:szCs w:val="24"/>
        </w:rPr>
        <w:t>.</w:t>
      </w:r>
    </w:p>
    <w:p w14:paraId="6666ABBC"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Similarly, Wood et al. (2012) has also noted the mediating influence that employee well-being has over job design and performance. There are only two ways that organisations directly involve their employees in i.e., job design and organisational culture. Both involvements significantly add to the changes occurring within the job design entirely. As greater flexibility is allowed to the employees, they are more likely to arrange their entire job design according to their needs and therefore, this high </w:t>
      </w:r>
      <w:r w:rsidRPr="00227727">
        <w:rPr>
          <w:rFonts w:ascii="Arial" w:hAnsi="Arial" w:cs="Arial"/>
          <w:sz w:val="24"/>
          <w:szCs w:val="24"/>
        </w:rPr>
        <w:lastRenderedPageBreak/>
        <w:t xml:space="preserve">involvement process allows them with much more satisfaction with their jobs as well as where they are employed. Employees rearranging their entire job design according to their needs, gain flexibility and are much more productive than usual, increasing their well-being as well since they have the ability to do their jobs accordingly. Meanwhile, the autonomy granted to each employee may as well increase anxiety since employees lack effective knowledge to make decisions for themselves. Flexible arrangements may also increase overall workload which causes a subsequent increase in stress levels of employees affecting their well-being negatively. Due to the excessive workload, personal and professional stress, employee well-being decreases which then subsequently causes an increase in job anxiety. </w:t>
      </w:r>
    </w:p>
    <w:p w14:paraId="0BD7345A"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Employees’ well-being mediates the relationship between smarter working and job performance in public organisations and has strong support in the literature. Research on work design, such as that by Parker et al. (2017) and Andrei and Parker (2018), demonstrates that well-structured job environments improve employee performance and psychological health and well-being. Smarter working practices, such as flexible hours, remote work options, and task autonomy, have increased job satisfaction and engagement, thereby improving performance outcomes (Felstead and Henseke, 2017; Choudhury et al., 2021). Furthermore, research shows that these practices reduce stress and improve work-life balance, which benefits employees’ mental health and ability to perform effectively in their roles (Prasad et al., 2020; Molino et al., 2020). Such findings highlight the mediating role of well-being, as smarter working environments directly contribute to creating a supportive environment that boosts performance by improving employee well-being.</w:t>
      </w:r>
    </w:p>
    <w:p w14:paraId="5A000722"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Furthermore, studies such as those by Grant et al. (2013) and Angelici and Profeta (2024) show that smarter working promotes well-being by increasing autonomy, lowering workplace stressors, and allowing employees to balance personal and professional responsibilities better. These factors improve job performance because happier employees are more engaged, motivated, and productive (Wright, 2006; Ryan and Deci, 2000). Furthermore, well-being is an important intermediary, mitigating the negative effects of job-related stressors, as evidenced by studies on technostress and remote work challenges during the COVID-19 pandemic (Molino et al., 2020). Incorporating smarter working practices into public organisations emphasises the importance of prioritising employee well-being to achieve optimal job performance results. Based on the literature pieces of evidence, the study offers the research hypothesis:</w:t>
      </w:r>
    </w:p>
    <w:p w14:paraId="4E1E8429" w14:textId="77777777" w:rsidR="00227727" w:rsidRPr="00227727" w:rsidRDefault="00227727" w:rsidP="00227727">
      <w:pPr>
        <w:spacing w:line="360" w:lineRule="auto"/>
        <w:jc w:val="both"/>
        <w:rPr>
          <w:rFonts w:ascii="Arial" w:hAnsi="Arial" w:cs="Arial"/>
          <w:i/>
          <w:iCs/>
          <w:sz w:val="24"/>
          <w:szCs w:val="24"/>
        </w:rPr>
      </w:pPr>
      <w:r w:rsidRPr="00227727">
        <w:rPr>
          <w:rFonts w:ascii="Arial" w:hAnsi="Arial" w:cs="Arial"/>
          <w:i/>
          <w:iCs/>
          <w:sz w:val="24"/>
          <w:szCs w:val="24"/>
        </w:rPr>
        <w:t>H</w:t>
      </w:r>
      <w:r w:rsidRPr="00227727">
        <w:rPr>
          <w:rFonts w:ascii="Arial" w:hAnsi="Arial" w:cs="Arial"/>
          <w:i/>
          <w:iCs/>
          <w:sz w:val="24"/>
          <w:szCs w:val="24"/>
          <w:vertAlign w:val="subscript"/>
        </w:rPr>
        <w:t>4</w:t>
      </w:r>
      <w:r w:rsidRPr="00227727">
        <w:rPr>
          <w:rFonts w:ascii="Arial" w:hAnsi="Arial" w:cs="Arial"/>
          <w:i/>
          <w:iCs/>
          <w:sz w:val="24"/>
          <w:szCs w:val="24"/>
        </w:rPr>
        <w:t>: Employees’ well-being mediates the relationship between smarter working and job performance in public organisations</w:t>
      </w:r>
    </w:p>
    <w:p w14:paraId="03C0E673" w14:textId="77777777" w:rsidR="00227727" w:rsidRPr="00227727" w:rsidRDefault="00227727" w:rsidP="00227727">
      <w:pPr>
        <w:pStyle w:val="Heading4"/>
        <w:rPr>
          <w:rFonts w:ascii="Arial" w:hAnsi="Arial" w:cs="Arial"/>
        </w:rPr>
      </w:pPr>
      <w:bookmarkStart w:id="11" w:name="_Toc81045590"/>
      <w:r w:rsidRPr="00227727">
        <w:rPr>
          <w:rFonts w:ascii="Arial" w:hAnsi="Arial" w:cs="Arial"/>
        </w:rPr>
        <w:t>Moderating effect of HRM practices over Smarter Working and Employee Well-being</w:t>
      </w:r>
      <w:bookmarkEnd w:id="11"/>
    </w:p>
    <w:p w14:paraId="1A557D2E" w14:textId="77777777" w:rsidR="00227727" w:rsidRPr="00227727" w:rsidRDefault="00227727" w:rsidP="00227727">
      <w:pPr>
        <w:spacing w:after="0" w:line="360" w:lineRule="auto"/>
        <w:jc w:val="both"/>
        <w:rPr>
          <w:rFonts w:ascii="Arial" w:hAnsi="Arial" w:cs="Arial"/>
          <w:sz w:val="24"/>
          <w:szCs w:val="28"/>
        </w:rPr>
      </w:pPr>
      <w:r w:rsidRPr="00227727">
        <w:rPr>
          <w:rFonts w:ascii="Arial" w:hAnsi="Arial" w:cs="Arial"/>
          <w:sz w:val="24"/>
          <w:szCs w:val="28"/>
        </w:rPr>
        <w:t xml:space="preserve">Human resource management is supported through the practices initiated by the HR department (Jensen and Voorde, 2016). These practices may be differently oriented i.e., control and committed that have an entirely different kind of approach towards managing human resources. Control oriented HRM system has not been formed for neglecting human resources, yet its approach was more fixated </w:t>
      </w:r>
      <w:r w:rsidRPr="00227727">
        <w:rPr>
          <w:rFonts w:ascii="Arial" w:hAnsi="Arial" w:cs="Arial"/>
          <w:sz w:val="24"/>
          <w:szCs w:val="28"/>
        </w:rPr>
        <w:lastRenderedPageBreak/>
        <w:t>on maintaining order and efficiency within the workforce of the organisation. This can be done through constructing strict rules and policies that govern the actions of its employees treating them as replaceable commodities instead of leveraging them towards their own advantage. Thus, this approach was mainly fixated over making the workforce achieve organisational goals (Hauff, et al., 2014). The dark side of the same system as Jensen and Voorde (2016) explain is using tactics and techniques that have a negative effect over the well-being of employees. This is the reason why Guest (2017) argues future research should identify which individual HR practices have positive/negative effect on specific well-being, rather than examining a hold-all HRM system. However, a technology motivated world requires much more than just attention towards the needs of the employees. The world demands that human resources become a part of the board room since it is highly complex to manage an entire human workforce through only HR strategies. On the other hand, there are yet some HR professionals that hold the belief that since they have been employed by the employer themselves, they only are accountable towards their employer and therefore, ignore the needs of the employees to meet the needs of the employer, resorting to negative practices. Negative recruitment is a dark side of HR practices where an employee is hired into another organisation of similar nature through referrals provided by his previous supervisor only to be terminated during probation based on him not being able to achieve organisational target in his previous role. Even interns are being used to work as a regular employee however are only paid a minute stipend that does not compensate their hard work. Organisation culture can also be created that can discriminate against other groups or a certain individual based on his behaviour and attitude. Therefore, there are various aspects to an employee that comes under the HR department and how it processes things (Nanayakkara, 2020).</w:t>
      </w:r>
    </w:p>
    <w:p w14:paraId="5CB0186A" w14:textId="77777777" w:rsidR="00227727" w:rsidRPr="00227727" w:rsidRDefault="00227727" w:rsidP="00227727">
      <w:pPr>
        <w:spacing w:after="0" w:line="360" w:lineRule="auto"/>
        <w:ind w:firstLine="720"/>
        <w:jc w:val="both"/>
        <w:rPr>
          <w:rFonts w:ascii="Arial" w:hAnsi="Arial" w:cs="Arial"/>
          <w:sz w:val="24"/>
          <w:szCs w:val="28"/>
        </w:rPr>
      </w:pPr>
      <w:r w:rsidRPr="00227727">
        <w:rPr>
          <w:rFonts w:ascii="Arial" w:hAnsi="Arial" w:cs="Arial"/>
          <w:sz w:val="24"/>
          <w:szCs w:val="28"/>
        </w:rPr>
        <w:t>On the other hand, the commitment oriented HRM system demands looking after the employees interests first before processing any organisational goals. It is necessary to create a strategic fit between employee demands and organisational goals which can only be done through generating effective HR practices. Engaging employees within strategic decisions and developing them continuously to improve upon their skills not only improve their own mental well-being but also significantly increases job performance as a result of benefits, effective performance measures and recognition. It is important to prioritise their needs when implementing working conditions since they are the ones to follow with the process and achieve organisational efficiency (Hauff, et al., 2014).</w:t>
      </w:r>
    </w:p>
    <w:p w14:paraId="6AA57804" w14:textId="77777777" w:rsidR="00227727" w:rsidRPr="00227727" w:rsidRDefault="00227727" w:rsidP="00227727">
      <w:pPr>
        <w:spacing w:line="360" w:lineRule="auto"/>
        <w:ind w:firstLine="720"/>
        <w:jc w:val="both"/>
        <w:rPr>
          <w:rFonts w:ascii="Arial" w:hAnsi="Arial" w:cs="Arial"/>
          <w:sz w:val="24"/>
          <w:szCs w:val="28"/>
        </w:rPr>
      </w:pPr>
      <w:r w:rsidRPr="00227727">
        <w:rPr>
          <w:rFonts w:ascii="Arial" w:hAnsi="Arial" w:cs="Arial"/>
          <w:sz w:val="24"/>
          <w:szCs w:val="28"/>
        </w:rPr>
        <w:t xml:space="preserve">Based on the works of Salas-Vallina, Alegre and Lopez-Cabrales (2021), HR systems clearly influence employee well-being. In case if the HR system is not properly devised, the individuals may face extreme negative consequences over their physical and mental performance. As mentioned by Nanayakkara (2020), dark sides of HR practices can resort towards using negative practices in order to terminate an employee or make him work extra however are compensated less. All of these outcomes result in a highly stressful situation for hardworking individuals who do not get a work/life balance that is essential for the mental well-being of each individual irrespective of his job role. Similarly, employee discrimination and creating an exclusive work culture may also make the employee more isolated and depressed regarding the state of the situation that can negatively influence his job </w:t>
      </w:r>
      <w:r w:rsidRPr="00227727">
        <w:rPr>
          <w:rFonts w:ascii="Arial" w:hAnsi="Arial" w:cs="Arial"/>
          <w:sz w:val="24"/>
          <w:szCs w:val="28"/>
        </w:rPr>
        <w:lastRenderedPageBreak/>
        <w:t>performance as well (Salas-Vallina, et al., 2021). In fact, smarter working is also a change within the organisation that works on a traditional frame of work therefore requires effective communication among all employees in order to adapt to it successfully that in the case of negative HR practices would be highly impossible. Smarter Working also provides and supports employee autonomy, flexibility, and innovative drive that with the influence of negative HR practices can become further hard since the employee may not be gaining the level of support that he requires as collaboration is an important part of smarter working that an exclusive organisational culture may reduce significantly. Similarly, providing training opportunities to individuals based on favouritism and their culture may also reduce the productivity of the workforce as they feel neglected and unwanted, increasing levels of depression, dissatisfaction which in return may also increase the organisation turnover (Raguseo, et al., 2016). Therefore, having different approaches to an HR system may also influence the job performance of individuals along with their well-being. Hence, the following hypothesis has been derived:</w:t>
      </w:r>
    </w:p>
    <w:p w14:paraId="68FA25AA" w14:textId="77777777" w:rsidR="00227727" w:rsidRPr="00227727" w:rsidRDefault="00227727" w:rsidP="00227727">
      <w:pPr>
        <w:spacing w:line="360" w:lineRule="auto"/>
        <w:jc w:val="both"/>
        <w:rPr>
          <w:rFonts w:ascii="Arial" w:hAnsi="Arial" w:cs="Arial"/>
          <w:sz w:val="24"/>
          <w:szCs w:val="28"/>
        </w:rPr>
      </w:pPr>
      <w:r w:rsidRPr="00227727">
        <w:rPr>
          <w:rFonts w:ascii="Arial" w:hAnsi="Arial" w:cs="Arial"/>
          <w:sz w:val="24"/>
          <w:szCs w:val="28"/>
        </w:rPr>
        <w:t>H</w:t>
      </w:r>
      <w:r w:rsidRPr="00227727">
        <w:rPr>
          <w:rFonts w:ascii="Arial" w:hAnsi="Arial" w:cs="Arial"/>
          <w:sz w:val="24"/>
          <w:szCs w:val="28"/>
          <w:vertAlign w:val="subscript"/>
        </w:rPr>
        <w:t>5:</w:t>
      </w:r>
      <w:r w:rsidRPr="00227727">
        <w:rPr>
          <w:rFonts w:ascii="Arial" w:hAnsi="Arial" w:cs="Arial"/>
          <w:sz w:val="24"/>
          <w:szCs w:val="28"/>
        </w:rPr>
        <w:t xml:space="preserve"> HRM practices moderate the relationship between smarter working and employee well-being.</w:t>
      </w:r>
    </w:p>
    <w:p w14:paraId="5F83E065" w14:textId="77777777" w:rsidR="00227727" w:rsidRPr="00227727" w:rsidRDefault="00227727" w:rsidP="00227727">
      <w:pPr>
        <w:pStyle w:val="Heading4"/>
        <w:rPr>
          <w:rFonts w:ascii="Arial" w:hAnsi="Arial" w:cs="Arial"/>
        </w:rPr>
      </w:pPr>
      <w:r w:rsidRPr="00227727">
        <w:rPr>
          <w:rFonts w:ascii="Arial" w:hAnsi="Arial" w:cs="Arial"/>
        </w:rPr>
        <w:t>Underpinning Theories: Job Demand-Resources (JD-R) Theory and Self-Determination Theory (SDT)</w:t>
      </w:r>
    </w:p>
    <w:p w14:paraId="61446346" w14:textId="77777777" w:rsidR="00227727" w:rsidRPr="00227727" w:rsidRDefault="00227727" w:rsidP="00227727">
      <w:pPr>
        <w:spacing w:after="0" w:line="360" w:lineRule="auto"/>
        <w:jc w:val="both"/>
        <w:rPr>
          <w:rFonts w:ascii="Arial" w:hAnsi="Arial" w:cs="Arial"/>
          <w:sz w:val="24"/>
          <w:szCs w:val="28"/>
        </w:rPr>
      </w:pPr>
      <w:r w:rsidRPr="00227727">
        <w:rPr>
          <w:rFonts w:ascii="Arial" w:hAnsi="Arial" w:cs="Arial"/>
          <w:sz w:val="24"/>
          <w:szCs w:val="28"/>
        </w:rPr>
        <w:t>The theoretical framework is explained when Job Demands-Resources (JD-R) Theory and Self-Determination Theory (SDT) are combined (Figure 2.4). According to JD-R theory, job performance and employee well-being are determined by the interaction of job demands and resources (Bakker &amp; Demerouti, 2017; Schaufeli &amp; Taris, 2014). In this study's framework, smarter working is viewed as a resource that improves job performance by increasing employee satisfaction and decreasing stress (Yunus et al., 2023; Galanakis &amp; Tsitouri, 2022; Berger et al., 2019). Furthermore, leadership practices integrated into human resource management (HRM) provide additional organisational support by increasing employee satisfaction and reducing stress (Tummers &amp; Bakker, 2021; Ndengu &amp; Leka, 2022). This is consistent with research indicating that managerial support moderates the impact of job resources on well-being outcomes (Yunus et al., 2023; Bakker &amp; de Vries, 2021). Thus, the model's direct and mediated links between smarter working, employee well-being, and job performance are heavily based on JD-R assumptions.</w:t>
      </w:r>
    </w:p>
    <w:p w14:paraId="17A15371" w14:textId="77777777" w:rsidR="00227727" w:rsidRPr="00227727" w:rsidRDefault="00227727" w:rsidP="00227727">
      <w:pPr>
        <w:spacing w:after="0" w:line="360" w:lineRule="auto"/>
        <w:ind w:firstLine="720"/>
        <w:jc w:val="both"/>
        <w:rPr>
          <w:rFonts w:ascii="Arial" w:hAnsi="Arial" w:cs="Arial"/>
          <w:sz w:val="24"/>
          <w:szCs w:val="28"/>
        </w:rPr>
      </w:pPr>
      <w:r w:rsidRPr="00227727">
        <w:rPr>
          <w:rFonts w:ascii="Arial" w:hAnsi="Arial" w:cs="Arial"/>
          <w:sz w:val="24"/>
          <w:szCs w:val="28"/>
        </w:rPr>
        <w:t>Self-determination theory adds to this model by explaining how internal psychological needs (autonomy, competence, and relatedness) mediate the relationships between job design and employee outcomes (Ryan &amp; Deci, 2000; Blechman et al., 2022; Manganelli et al., 2018). Smarter work environments promote autonomy and competence, boosting intrinsic motivation and satisfaction while lowering stress and improving job performance (Camilleri, 2021; Krause et al., 2019; McAnally &amp; Hagger, 2024). For example, Li et al. (2021) found that employees with high future work selves report higher workplace well-being under supportive conditions, which is directly reflected in the H2a and H2b paths. Furthermore, organisational practices that promote autonomy support, as highlighted by Nunes et al. (2024) and Blechman et al. (2022), result in sustained employee engagement, which is consistent with the framework's mediation effect (H4).</w:t>
      </w:r>
    </w:p>
    <w:p w14:paraId="230AD5D1" w14:textId="77777777" w:rsidR="00227727" w:rsidRPr="00227727" w:rsidRDefault="00227727" w:rsidP="00227727">
      <w:pPr>
        <w:spacing w:after="0" w:line="360" w:lineRule="auto"/>
        <w:ind w:firstLine="720"/>
        <w:jc w:val="both"/>
        <w:rPr>
          <w:rFonts w:ascii="Arial" w:hAnsi="Arial" w:cs="Arial"/>
          <w:sz w:val="24"/>
          <w:szCs w:val="28"/>
        </w:rPr>
      </w:pPr>
      <w:r w:rsidRPr="00227727">
        <w:rPr>
          <w:rFonts w:ascii="Arial" w:hAnsi="Arial" w:cs="Arial"/>
          <w:sz w:val="24"/>
          <w:szCs w:val="28"/>
        </w:rPr>
        <w:lastRenderedPageBreak/>
        <w:t>The moderating role of HRM practices on smarter working (H5) is empirically supported using the JD-R theory. Li et al. (2023) emphasise that HRM practices must be differentiated between challenge-demand and job resource to impact well-being positively. When supported by resource-enabling HRM policies, smarter working strategies effectively buffer job demands and increase satisfaction (Mura et al., 2018; Yin et al., 2018). Yunus et al. (2023) and Dicke et al. (2017) demonstrate that these HRM practices promote better work environments, resulting in lower employee stress and higher satisfaction. The interaction between HRM support and smarter working thus has a significant impact on employee psychological health and work outcomes, emphasising the importance of including moderating pathways such as H5 in the theoretical model.</w:t>
      </w:r>
    </w:p>
    <w:p w14:paraId="71B97C81" w14:textId="77777777" w:rsidR="00227727" w:rsidRPr="00227727" w:rsidRDefault="00227727" w:rsidP="00227727">
      <w:pPr>
        <w:spacing w:after="0" w:line="360" w:lineRule="auto"/>
        <w:ind w:firstLine="720"/>
        <w:jc w:val="both"/>
        <w:rPr>
          <w:rFonts w:ascii="Arial" w:hAnsi="Arial" w:cs="Arial"/>
          <w:sz w:val="24"/>
          <w:szCs w:val="28"/>
        </w:rPr>
      </w:pPr>
      <w:r w:rsidRPr="00227727">
        <w:rPr>
          <w:rFonts w:ascii="Arial" w:hAnsi="Arial" w:cs="Arial"/>
          <w:sz w:val="24"/>
          <w:szCs w:val="28"/>
        </w:rPr>
        <w:t>JD-R and SDT agree that employee satisfaction and stress (H2, H3) mediate the relationship between smarter working and job performance. According to JD-R, high job resources lead to increased engagement and well-being, which improves job performance (Bakker &amp; Demerouti, 2017; Zhou et al., 2022). Simultaneously, SDT emphasises that meeting basic psychological needs catalyses intrinsic motivation and emotional well-being, which explains why employee satisfaction mediates the smarter working job performance link (Nunes et al., 2024; Manganelli et al., 2018). This mediating mechanism is consistent with the findings of Blechman et al. (2022), who noted that global and specific psychological needs predict well-being and performance outcomes. The negative impact of employee stress on job performance (H3b) is consistent with the findings of Berger et al. (2019) and Tummers and Bakker (2021), who discovered that stress depletes resources required for effective job performance.</w:t>
      </w:r>
    </w:p>
    <w:p w14:paraId="73EA48F0" w14:textId="77777777" w:rsidR="00227727" w:rsidRPr="00227727" w:rsidRDefault="00227727" w:rsidP="00227727">
      <w:pPr>
        <w:spacing w:after="0" w:line="360" w:lineRule="auto"/>
        <w:ind w:firstLine="720"/>
        <w:jc w:val="both"/>
        <w:rPr>
          <w:rFonts w:ascii="Arial" w:hAnsi="Arial" w:cs="Arial"/>
          <w:sz w:val="24"/>
          <w:szCs w:val="28"/>
        </w:rPr>
      </w:pPr>
      <w:r w:rsidRPr="00227727">
        <w:rPr>
          <w:rFonts w:ascii="Arial" w:hAnsi="Arial" w:cs="Arial"/>
          <w:sz w:val="24"/>
          <w:szCs w:val="28"/>
        </w:rPr>
        <w:t>The overall integration of JD-R and SDT provides a comprehensive understanding of employee performance in smarter working conditions, as proposed in the framework. The direct effects, mediated pathways, and moderated relationships are consistent with the complex, multilevel dynamics described by Bakker and Demerouti (2017) and the self-regulation processes proposed by SDT scholars such as Gagné et al. (2022) and Camilleri (2021). JD-R theory frames the structural aspects (resources and demands), whereas SDT explains the motivational underpinnings, providing complementary explanations for why smarter working, facilitated by supportive HRM, increases employee satisfaction, reduces stress, and improves job performance. The systematic reviews by Tummers and Bakker (2021), Berger et al. (2019), and Nunes et al. (2024) all show that for optimal performance and well-being outcomes, organisations must strategically combine structural job resources with motivational supports, as captured in the framework.</w:t>
      </w:r>
    </w:p>
    <w:p w14:paraId="7DFD0490" w14:textId="77777777" w:rsidR="00227727" w:rsidRPr="00227727" w:rsidRDefault="00227727" w:rsidP="00227727">
      <w:pPr>
        <w:spacing w:after="0" w:line="360" w:lineRule="auto"/>
        <w:ind w:firstLine="720"/>
        <w:jc w:val="both"/>
        <w:rPr>
          <w:rFonts w:ascii="Arial" w:hAnsi="Arial" w:cs="Arial"/>
          <w:sz w:val="24"/>
          <w:szCs w:val="28"/>
        </w:rPr>
      </w:pPr>
      <w:r w:rsidRPr="00227727">
        <w:rPr>
          <w:rFonts w:ascii="Arial" w:hAnsi="Arial" w:cs="Arial"/>
          <w:sz w:val="24"/>
          <w:szCs w:val="28"/>
        </w:rPr>
        <w:t xml:space="preserve">A framework for understanding the relationship between job demands, resources, and their effects on employee outcomes like job performance and well-being is supported by the Job Demand-Resources (JD-R) theory and Self-Determination Theory (SDT). According to the JD-R theory, job resources that improve employee engagement and job performance include autonomy, technological integration, and flexibility through smarter working (Alnoor et al. (2021; Parker et al., 2023; Paliga, 2022). Research highlights that tools such as autonomy in decision-making and encouraging surroundings encourage intrinsic motivation, which results in improved performance (Parker et al., </w:t>
      </w:r>
      <w:r w:rsidRPr="00227727">
        <w:rPr>
          <w:rFonts w:ascii="Arial" w:hAnsi="Arial" w:cs="Arial"/>
          <w:sz w:val="24"/>
          <w:szCs w:val="28"/>
        </w:rPr>
        <w:lastRenderedPageBreak/>
        <w:t>2023; Paliga, 2022). By reducing role conflict and boosting autonomy, for example, creative job designs dramatically improve performance and satisfaction, as Parker and Knight (2023) demonstrated using the SMART model. Similarly, Alnoor et al. (2021) directly connect the JD-R model with resource-driven job performance improvements by identifying job resources like role clarity and feedback as important drivers of open innovation.</w:t>
      </w:r>
    </w:p>
    <w:p w14:paraId="6EA4FF5F" w14:textId="77777777" w:rsidR="00227727" w:rsidRPr="00227727" w:rsidRDefault="00227727" w:rsidP="00227727">
      <w:pPr>
        <w:spacing w:after="0" w:line="360" w:lineRule="auto"/>
        <w:ind w:firstLine="720"/>
        <w:jc w:val="both"/>
        <w:rPr>
          <w:rFonts w:ascii="Arial" w:hAnsi="Arial" w:cs="Arial"/>
          <w:sz w:val="24"/>
          <w:szCs w:val="28"/>
        </w:rPr>
      </w:pPr>
      <w:r w:rsidRPr="00227727">
        <w:rPr>
          <w:rFonts w:ascii="Arial" w:hAnsi="Arial" w:cs="Arial"/>
          <w:sz w:val="24"/>
          <w:szCs w:val="28"/>
        </w:rPr>
        <w:t>By emphasizing the resource conservation strategies that lower job stress and raise job satisfaction, the JD-R theory also clarifies the mediating function of employee well-being. A key psychological mechanism that converts the advantages of smarter working—such as less workload and more resources—into better performance is employee well-being. According to Zhang and Ma (2021), job well-being is crucial in maintaining productivity by mediating the relationship between job resources (such as autonomy and support) and employee innovation behaviour. The significance of well-being in reducing stress is further demonstrated by Yasinta et al. (2024), who show that emotional exhaustion—a negative well-being indicator—mediates the relationship between job demands like technological complexity and job performance. According to JD-R theory, contextual elements like HRM procedures can enhance the beneficial impacts of job resources on performance and well-being. Smarter working environments maximize well-being and reduce job stress thanks to effective HRM practices, which include performance reviews, training, and resource availability. In line with JD-R’s focus on maximizing job resources, studies such as Johari et al. (2021) demonstrate that emotional intelligence and resource availability mitigate the effect of job characteristics on engagement and performance. Furthermore, Suzianti et al. (2022) investigate how HRM policies leverage resources to increase the productivity benefits of smarter working, supporting the moderating role suggested in this hypothesis.​</w:t>
      </w:r>
    </w:p>
    <w:p w14:paraId="4AE5D17A" w14:textId="77777777" w:rsidR="00227727" w:rsidRPr="00227727" w:rsidRDefault="00227727" w:rsidP="00227727">
      <w:pPr>
        <w:spacing w:after="0" w:line="360" w:lineRule="auto"/>
        <w:jc w:val="both"/>
        <w:rPr>
          <w:rFonts w:ascii="Arial" w:hAnsi="Arial" w:cs="Arial"/>
          <w:sz w:val="24"/>
          <w:szCs w:val="28"/>
        </w:rPr>
      </w:pPr>
      <w:r w:rsidRPr="00227727">
        <w:rPr>
          <w:rFonts w:ascii="Arial" w:hAnsi="Arial" w:cs="Arial"/>
          <w:sz w:val="24"/>
          <w:szCs w:val="28"/>
        </w:rPr>
        <w:tab/>
        <w:t xml:space="preserve">On the other hand, Self-Determination Theory (SDT) offers a thorough framework for human motivation by addressing the satisfaction of three fundamental psychological needs: relatedness, competence, and autonomy. According to SDT, autonomy is a basic psychological need that promotes intrinsic motivation and improves performance (Zhou &amp; Li, 2023). According to SDT, the autonomy dimension is closely aligned with smarter working practices that give employees flexibility and control over tasks. Gagné et al. (2022) showed that by encouraging intrinsic interest in tasks, work environments that support autonomy boost motivation and enhance job performance. Similarly, Zaman et al. (2020) found that gig workers perform better when their work is in line with their values, increasing their sense of competence and independence. These results support the idea that smarter working enhances job performance by meeting workers’ demands for autonomy. According to SDT, work environments that foster relatedness, competence, and autonomy directly improve employee well-being. Brenner (2022) demonstrated the dual impact of competence and autonomy on well-being by finding that encouraging self-determined motivation through autonomy-supportive practices lowers stress and increases job satisfaction. </w:t>
      </w:r>
    </w:p>
    <w:p w14:paraId="6DA219CC" w14:textId="77777777" w:rsidR="00227727" w:rsidRPr="00227727" w:rsidRDefault="00227727" w:rsidP="00227727">
      <w:pPr>
        <w:spacing w:line="360" w:lineRule="auto"/>
        <w:ind w:firstLine="720"/>
        <w:jc w:val="both"/>
        <w:rPr>
          <w:rFonts w:ascii="Arial" w:hAnsi="Arial" w:cs="Arial"/>
          <w:sz w:val="24"/>
          <w:szCs w:val="28"/>
        </w:rPr>
      </w:pPr>
      <w:r w:rsidRPr="00227727">
        <w:rPr>
          <w:rFonts w:ascii="Arial" w:hAnsi="Arial" w:cs="Arial"/>
          <w:sz w:val="24"/>
          <w:szCs w:val="28"/>
        </w:rPr>
        <w:t xml:space="preserve">Furthermore, Zhou and Li (2023) used SDT in an educational setting. They discovered that settings that promoted competence and autonomy positively impacted participants’ motivation and </w:t>
      </w:r>
      <w:r w:rsidRPr="00227727">
        <w:rPr>
          <w:rFonts w:ascii="Arial" w:hAnsi="Arial" w:cs="Arial"/>
          <w:sz w:val="24"/>
          <w:szCs w:val="28"/>
        </w:rPr>
        <w:lastRenderedPageBreak/>
        <w:t>well-being, confirming the idea that well-being acts as a mediator between task structure and results. These results support the mediating role of well-being postulated in the research by indicating that smarter working improves well-being and job performance. According to SDT, contextual elements like HRM procedures can enhance the benefits of relatedness, competence, and autonomy. The competence and relatedness needs are met by HRM practices like training, recognition, and personalized feedback, which foster an environment that supports worker performance and well-being. According to Tripathi et al. (2022), by matching tasks with intrinsic motivators, algorithmic management techniques based on SDT principles improve employee motivation and satisfaction. Similarly, Chong et al. (2024) demonstrated how motivation and well-being outcomes were greatly enhanced by newcomer socialization techniques created to satisfy SDT needs.</w:t>
      </w:r>
    </w:p>
    <w:p w14:paraId="7EC49733" w14:textId="77777777" w:rsidR="00227727" w:rsidRPr="00227727" w:rsidRDefault="00227727" w:rsidP="00227727">
      <w:pPr>
        <w:pStyle w:val="Heading3"/>
        <w:rPr>
          <w:rFonts w:ascii="Arial" w:hAnsi="Arial" w:cs="Arial"/>
        </w:rPr>
      </w:pPr>
      <w:r w:rsidRPr="00227727">
        <w:rPr>
          <w:rFonts w:ascii="Arial" w:hAnsi="Arial" w:cs="Arial"/>
        </w:rPr>
        <w:t>Theoretical Framework</w:t>
      </w:r>
    </w:p>
    <w:p w14:paraId="56E9758A" w14:textId="77777777" w:rsidR="00227727" w:rsidRPr="00227727" w:rsidRDefault="00227727" w:rsidP="00227727">
      <w:pPr>
        <w:spacing w:line="360" w:lineRule="auto"/>
        <w:jc w:val="both"/>
        <w:rPr>
          <w:rFonts w:ascii="Arial" w:hAnsi="Arial" w:cs="Arial"/>
          <w:sz w:val="24"/>
          <w:szCs w:val="28"/>
        </w:rPr>
      </w:pPr>
      <w:r w:rsidRPr="00227727">
        <w:rPr>
          <w:rFonts w:ascii="Arial" w:hAnsi="Arial" w:cs="Arial"/>
          <w:sz w:val="24"/>
          <w:szCs w:val="28"/>
        </w:rPr>
        <w:t>The theoretical framework depicted in Figure 2.4 creates a model that integrates smarter working, human resource management (HRM), employee well-being, and job performance. There is a direct effect of smarter working on job performance (H1). Smarter working improves well-being by increasing satisfaction (H2a) and reducing stress (H2b). The direct link between smarter working and job performance (H1) is further complicated by the effects of well-being dimensions, with satisfaction positively influencing job performance (H3a) and stress having a negative impact (H3b). Employee well-being then mediates the relationship between smarter working and job performance (H4), emphasising the critical role of employee satisfaction and stress in translating smarter working practices into better performance results. HRM directly impacts employee well-being (H5), which is divided into two dimensions: satisfaction and stress. This framework emphasises the synergistic effects of HRM and smarter working practices in creating a well-being-oriented workplace that improves individual and organisational performance.</w:t>
      </w:r>
    </w:p>
    <w:p w14:paraId="554F0C45" w14:textId="77777777" w:rsidR="00227727" w:rsidRPr="00227727" w:rsidRDefault="00227727" w:rsidP="00227727">
      <w:pPr>
        <w:spacing w:line="360" w:lineRule="auto"/>
        <w:jc w:val="both"/>
        <w:rPr>
          <w:rFonts w:ascii="Arial" w:hAnsi="Arial" w:cs="Arial"/>
          <w:sz w:val="24"/>
          <w:szCs w:val="28"/>
        </w:rPr>
      </w:pPr>
    </w:p>
    <w:p w14:paraId="54968470" w14:textId="77777777" w:rsidR="00227727" w:rsidRPr="00227727" w:rsidRDefault="00227727" w:rsidP="00227727">
      <w:pPr>
        <w:spacing w:line="360" w:lineRule="auto"/>
        <w:jc w:val="both"/>
        <w:rPr>
          <w:rFonts w:ascii="Arial" w:hAnsi="Arial" w:cs="Arial"/>
          <w:sz w:val="24"/>
          <w:szCs w:val="28"/>
        </w:rPr>
      </w:pPr>
    </w:p>
    <w:p w14:paraId="2D63A092" w14:textId="77777777" w:rsidR="00227727" w:rsidRPr="00227727" w:rsidRDefault="00227727" w:rsidP="00227727">
      <w:pPr>
        <w:spacing w:line="360" w:lineRule="auto"/>
        <w:jc w:val="both"/>
        <w:rPr>
          <w:rFonts w:ascii="Arial" w:hAnsi="Arial" w:cs="Arial"/>
          <w:sz w:val="24"/>
          <w:szCs w:val="28"/>
        </w:rPr>
      </w:pPr>
    </w:p>
    <w:p w14:paraId="6213B962" w14:textId="77777777" w:rsidR="00227727" w:rsidRPr="00227727" w:rsidRDefault="00227727" w:rsidP="00227727">
      <w:pPr>
        <w:spacing w:line="360" w:lineRule="auto"/>
        <w:jc w:val="both"/>
        <w:rPr>
          <w:rFonts w:ascii="Arial" w:hAnsi="Arial" w:cs="Arial"/>
          <w:sz w:val="24"/>
          <w:szCs w:val="28"/>
        </w:rPr>
      </w:pPr>
    </w:p>
    <w:p w14:paraId="29BBD538" w14:textId="77777777" w:rsidR="00227727" w:rsidRPr="00227727" w:rsidRDefault="00227727" w:rsidP="00227727">
      <w:pPr>
        <w:spacing w:line="360" w:lineRule="auto"/>
        <w:jc w:val="both"/>
        <w:rPr>
          <w:rFonts w:ascii="Arial" w:hAnsi="Arial" w:cs="Arial"/>
          <w:sz w:val="24"/>
          <w:szCs w:val="28"/>
        </w:rPr>
      </w:pPr>
    </w:p>
    <w:p w14:paraId="25EF9F69" w14:textId="77777777" w:rsidR="00227727" w:rsidRPr="00227727" w:rsidRDefault="00227727" w:rsidP="00227727">
      <w:pPr>
        <w:spacing w:line="360" w:lineRule="auto"/>
        <w:jc w:val="both"/>
        <w:rPr>
          <w:rFonts w:ascii="Arial" w:hAnsi="Arial" w:cs="Arial"/>
          <w:sz w:val="24"/>
          <w:szCs w:val="28"/>
        </w:rPr>
      </w:pPr>
    </w:p>
    <w:p w14:paraId="74C33F5B" w14:textId="77777777" w:rsidR="00227727" w:rsidRPr="00227727" w:rsidRDefault="00227727" w:rsidP="00227727">
      <w:pPr>
        <w:spacing w:line="360" w:lineRule="auto"/>
        <w:jc w:val="both"/>
        <w:rPr>
          <w:rFonts w:ascii="Arial" w:hAnsi="Arial" w:cs="Arial"/>
          <w:sz w:val="24"/>
          <w:szCs w:val="28"/>
        </w:rPr>
      </w:pPr>
    </w:p>
    <w:p w14:paraId="01627974" w14:textId="77777777" w:rsidR="00227727" w:rsidRPr="00227727" w:rsidRDefault="00227727" w:rsidP="00227727">
      <w:pPr>
        <w:spacing w:line="360" w:lineRule="auto"/>
        <w:jc w:val="both"/>
        <w:rPr>
          <w:rFonts w:ascii="Arial" w:hAnsi="Arial" w:cs="Arial"/>
          <w:sz w:val="24"/>
          <w:szCs w:val="28"/>
        </w:rPr>
      </w:pPr>
    </w:p>
    <w:p w14:paraId="39DA0021" w14:textId="77777777" w:rsidR="00227727" w:rsidRPr="00227727" w:rsidRDefault="00227727" w:rsidP="00227727">
      <w:pPr>
        <w:spacing w:line="360" w:lineRule="auto"/>
        <w:jc w:val="both"/>
        <w:rPr>
          <w:rFonts w:ascii="Arial" w:hAnsi="Arial" w:cs="Arial"/>
          <w:sz w:val="24"/>
          <w:szCs w:val="28"/>
        </w:rPr>
      </w:pPr>
    </w:p>
    <w:p w14:paraId="7B43B32C" w14:textId="77777777" w:rsidR="00227727" w:rsidRPr="00227727" w:rsidRDefault="00227727" w:rsidP="00227727">
      <w:pPr>
        <w:spacing w:line="360" w:lineRule="auto"/>
        <w:jc w:val="both"/>
        <w:rPr>
          <w:rFonts w:ascii="Arial" w:hAnsi="Arial" w:cs="Arial"/>
          <w:sz w:val="24"/>
          <w:szCs w:val="28"/>
        </w:rPr>
      </w:pPr>
    </w:p>
    <w:p w14:paraId="6F3DABB2" w14:textId="77777777" w:rsidR="00227727" w:rsidRPr="00227727" w:rsidRDefault="00227727" w:rsidP="00227727">
      <w:pPr>
        <w:spacing w:line="360" w:lineRule="auto"/>
        <w:jc w:val="both"/>
        <w:rPr>
          <w:rFonts w:ascii="Arial" w:hAnsi="Arial" w:cs="Arial"/>
          <w:sz w:val="24"/>
          <w:szCs w:val="28"/>
        </w:rPr>
      </w:pPr>
      <w:r w:rsidRPr="00227727">
        <w:rPr>
          <w:rFonts w:ascii="Arial" w:hAnsi="Arial" w:cs="Arial"/>
          <w:noProof/>
          <w:sz w:val="24"/>
          <w:szCs w:val="28"/>
          <w14:ligatures w14:val="standardContextual"/>
        </w:rPr>
        <mc:AlternateContent>
          <mc:Choice Requires="wpg">
            <w:drawing>
              <wp:anchor distT="0" distB="0" distL="114300" distR="114300" simplePos="0" relativeHeight="251659264" behindDoc="0" locked="0" layoutInCell="1" allowOverlap="1" wp14:anchorId="2BF0AFB4" wp14:editId="293BC4F8">
                <wp:simplePos x="0" y="0"/>
                <wp:positionH relativeFrom="column">
                  <wp:posOffset>89535</wp:posOffset>
                </wp:positionH>
                <wp:positionV relativeFrom="paragraph">
                  <wp:posOffset>112395</wp:posOffset>
                </wp:positionV>
                <wp:extent cx="6789420" cy="3919086"/>
                <wp:effectExtent l="0" t="0" r="11430" b="100965"/>
                <wp:wrapNone/>
                <wp:docPr id="36" name="Group 36"/>
                <wp:cNvGraphicFramePr/>
                <a:graphic xmlns:a="http://schemas.openxmlformats.org/drawingml/2006/main">
                  <a:graphicData uri="http://schemas.microsoft.com/office/word/2010/wordprocessingGroup">
                    <wpg:wgp>
                      <wpg:cNvGrpSpPr/>
                      <wpg:grpSpPr>
                        <a:xfrm>
                          <a:off x="0" y="0"/>
                          <a:ext cx="6789420" cy="3919086"/>
                          <a:chOff x="86360" y="0"/>
                          <a:chExt cx="6789420" cy="3919086"/>
                        </a:xfrm>
                      </wpg:grpSpPr>
                      <wpg:grpSp>
                        <wpg:cNvPr id="33" name="Group 33"/>
                        <wpg:cNvGrpSpPr/>
                        <wpg:grpSpPr>
                          <a:xfrm>
                            <a:off x="162560" y="0"/>
                            <a:ext cx="6713220" cy="3665220"/>
                            <a:chOff x="0" y="0"/>
                            <a:chExt cx="6713220" cy="3665220"/>
                          </a:xfrm>
                        </wpg:grpSpPr>
                        <wpg:grpSp>
                          <wpg:cNvPr id="29" name="Group 29"/>
                          <wpg:cNvGrpSpPr/>
                          <wpg:grpSpPr>
                            <a:xfrm>
                              <a:off x="0" y="0"/>
                              <a:ext cx="6713220" cy="3665220"/>
                              <a:chOff x="-220980" y="0"/>
                              <a:chExt cx="6713220" cy="3665220"/>
                            </a:xfrm>
                          </wpg:grpSpPr>
                          <wpg:grpSp>
                            <wpg:cNvPr id="20" name="Group 20"/>
                            <wpg:cNvGrpSpPr/>
                            <wpg:grpSpPr>
                              <a:xfrm>
                                <a:off x="-220980" y="0"/>
                                <a:ext cx="6713220" cy="3665220"/>
                                <a:chOff x="-220980" y="-666750"/>
                                <a:chExt cx="6713220" cy="3665220"/>
                              </a:xfrm>
                            </wpg:grpSpPr>
                            <wpg:grpSp>
                              <wpg:cNvPr id="12" name="Group 12"/>
                              <wpg:cNvGrpSpPr/>
                              <wpg:grpSpPr>
                                <a:xfrm>
                                  <a:off x="-220980" y="-666750"/>
                                  <a:ext cx="6713220" cy="3158490"/>
                                  <a:chOff x="-220980" y="-666750"/>
                                  <a:chExt cx="6713220" cy="3158490"/>
                                </a:xfrm>
                              </wpg:grpSpPr>
                              <wpg:grpSp>
                                <wpg:cNvPr id="8" name="Group 8"/>
                                <wpg:cNvGrpSpPr/>
                                <wpg:grpSpPr>
                                  <a:xfrm>
                                    <a:off x="-220980" y="-666750"/>
                                    <a:ext cx="6713220" cy="3158490"/>
                                    <a:chOff x="-220980" y="-1985010"/>
                                    <a:chExt cx="6713220" cy="3158490"/>
                                  </a:xfrm>
                                </wpg:grpSpPr>
                                <wps:wsp>
                                  <wps:cNvPr id="27" name="Rectangle 27"/>
                                  <wps:cNvSpPr/>
                                  <wps:spPr>
                                    <a:xfrm>
                                      <a:off x="2286000" y="-1985010"/>
                                      <a:ext cx="1668780" cy="244221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1AD05C17" w14:textId="77777777" w:rsidR="00227727" w:rsidRDefault="00227727" w:rsidP="00227727">
                                        <w:pPr>
                                          <w:rPr>
                                            <w:rFonts w:ascii="Arial" w:hAnsi="Arial" w:cs="Arial"/>
                                            <w:sz w:val="24"/>
                                          </w:rPr>
                                        </w:pPr>
                                        <w:r>
                                          <w:rPr>
                                            <w:rFonts w:ascii="Arial" w:hAnsi="Arial" w:cs="Arial"/>
                                            <w:sz w:val="24"/>
                                          </w:rPr>
                                          <w:t>Employees’ Well-being</w:t>
                                        </w:r>
                                      </w:p>
                                      <w:p w14:paraId="466991D5" w14:textId="77777777" w:rsidR="00227727" w:rsidRDefault="00227727" w:rsidP="00227727">
                                        <w:pPr>
                                          <w:rPr>
                                            <w:rFonts w:ascii="Arial" w:hAnsi="Arial" w:cs="Arial"/>
                                            <w:sz w:val="24"/>
                                          </w:rPr>
                                        </w:pPr>
                                      </w:p>
                                      <w:p w14:paraId="5B0C6A0D" w14:textId="77777777" w:rsidR="00227727" w:rsidRDefault="00227727" w:rsidP="00227727">
                                        <w:pPr>
                                          <w:rPr>
                                            <w:rFonts w:ascii="Arial" w:hAnsi="Arial" w:cs="Arial"/>
                                            <w:sz w:val="24"/>
                                          </w:rPr>
                                        </w:pPr>
                                      </w:p>
                                      <w:p w14:paraId="064D4E1E" w14:textId="77777777" w:rsidR="00227727" w:rsidRDefault="00227727" w:rsidP="00227727">
                                        <w:pPr>
                                          <w:rPr>
                                            <w:rFonts w:ascii="Arial" w:hAnsi="Arial" w:cs="Arial"/>
                                            <w:sz w:val="24"/>
                                          </w:rPr>
                                        </w:pPr>
                                      </w:p>
                                      <w:p w14:paraId="5EBA7CC2" w14:textId="77777777" w:rsidR="00227727" w:rsidRDefault="00227727" w:rsidP="00227727">
                                        <w:pPr>
                                          <w:rPr>
                                            <w:rFonts w:ascii="Arial" w:hAnsi="Arial" w:cs="Arial"/>
                                            <w:sz w:val="24"/>
                                          </w:rPr>
                                        </w:pPr>
                                      </w:p>
                                      <w:p w14:paraId="33511098" w14:textId="77777777" w:rsidR="00227727" w:rsidRDefault="00227727" w:rsidP="00227727">
                                        <w:pPr>
                                          <w:rPr>
                                            <w:rFonts w:ascii="Arial" w:hAnsi="Arial" w:cs="Arial"/>
                                            <w:sz w:val="24"/>
                                          </w:rPr>
                                        </w:pPr>
                                      </w:p>
                                      <w:p w14:paraId="47F66332" w14:textId="77777777" w:rsidR="00227727" w:rsidRPr="00423236" w:rsidRDefault="00227727" w:rsidP="00227727">
                                        <w:pPr>
                                          <w:rPr>
                                            <w:rFonts w:ascii="Arial" w:hAnsi="Arial" w:cs="Arial"/>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647700"/>
                                      <a:ext cx="1424940" cy="525780"/>
                                    </a:xfrm>
                                    <a:prstGeom prst="rect">
                                      <a:avLst/>
                                    </a:prstGeom>
                                  </wps:spPr>
                                  <wps:style>
                                    <a:lnRef idx="2">
                                      <a:schemeClr val="dk1"/>
                                    </a:lnRef>
                                    <a:fillRef idx="1">
                                      <a:schemeClr val="lt1"/>
                                    </a:fillRef>
                                    <a:effectRef idx="0">
                                      <a:schemeClr val="dk1"/>
                                    </a:effectRef>
                                    <a:fontRef idx="minor">
                                      <a:schemeClr val="dk1"/>
                                    </a:fontRef>
                                  </wps:style>
                                  <wps:txbx>
                                    <w:txbxContent>
                                      <w:p w14:paraId="5248560C" w14:textId="77777777" w:rsidR="00227727" w:rsidRPr="00423236" w:rsidRDefault="00227727" w:rsidP="00227727">
                                        <w:pPr>
                                          <w:jc w:val="center"/>
                                          <w:rPr>
                                            <w:rFonts w:ascii="Arial" w:hAnsi="Arial" w:cs="Arial"/>
                                            <w:sz w:val="24"/>
                                          </w:rPr>
                                        </w:pPr>
                                        <w:r w:rsidRPr="00423236">
                                          <w:rPr>
                                            <w:rFonts w:ascii="Arial" w:hAnsi="Arial" w:cs="Arial"/>
                                            <w:sz w:val="24"/>
                                          </w:rPr>
                                          <w:t>Smarter Working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5067300" y="548640"/>
                                      <a:ext cx="1424940" cy="525780"/>
                                    </a:xfrm>
                                    <a:prstGeom prst="rect">
                                      <a:avLst/>
                                    </a:prstGeom>
                                  </wps:spPr>
                                  <wps:style>
                                    <a:lnRef idx="2">
                                      <a:schemeClr val="dk1"/>
                                    </a:lnRef>
                                    <a:fillRef idx="1">
                                      <a:schemeClr val="lt1"/>
                                    </a:fillRef>
                                    <a:effectRef idx="0">
                                      <a:schemeClr val="dk1"/>
                                    </a:effectRef>
                                    <a:fontRef idx="minor">
                                      <a:schemeClr val="dk1"/>
                                    </a:fontRef>
                                  </wps:style>
                                  <wps:txbx>
                                    <w:txbxContent>
                                      <w:p w14:paraId="3C19DEE1" w14:textId="77777777" w:rsidR="00227727" w:rsidRPr="00423236" w:rsidRDefault="00227727" w:rsidP="00227727">
                                        <w:pPr>
                                          <w:jc w:val="center"/>
                                          <w:rPr>
                                            <w:rFonts w:ascii="Arial" w:hAnsi="Arial" w:cs="Arial"/>
                                            <w:sz w:val="24"/>
                                          </w:rPr>
                                        </w:pPr>
                                        <w:r>
                                          <w:rPr>
                                            <w:rFonts w:ascii="Arial" w:hAnsi="Arial" w:cs="Arial"/>
                                            <w:sz w:val="24"/>
                                          </w:rPr>
                                          <w:t>Job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400300" y="-1318260"/>
                                      <a:ext cx="1424940" cy="525780"/>
                                    </a:xfrm>
                                    <a:prstGeom prst="rect">
                                      <a:avLst/>
                                    </a:prstGeom>
                                  </wps:spPr>
                                  <wps:style>
                                    <a:lnRef idx="2">
                                      <a:schemeClr val="dk1"/>
                                    </a:lnRef>
                                    <a:fillRef idx="1">
                                      <a:schemeClr val="lt1"/>
                                    </a:fillRef>
                                    <a:effectRef idx="0">
                                      <a:schemeClr val="dk1"/>
                                    </a:effectRef>
                                    <a:fontRef idx="minor">
                                      <a:schemeClr val="dk1"/>
                                    </a:fontRef>
                                  </wps:style>
                                  <wps:txbx>
                                    <w:txbxContent>
                                      <w:p w14:paraId="47883362" w14:textId="77777777" w:rsidR="00227727" w:rsidRPr="00423236" w:rsidRDefault="00227727" w:rsidP="00227727">
                                        <w:pPr>
                                          <w:jc w:val="center"/>
                                          <w:rPr>
                                            <w:rFonts w:ascii="Arial" w:hAnsi="Arial" w:cs="Arial"/>
                                            <w:sz w:val="24"/>
                                          </w:rPr>
                                        </w:pPr>
                                        <w:r>
                                          <w:rPr>
                                            <w:rFonts w:ascii="Arial" w:hAnsi="Arial" w:cs="Arial"/>
                                            <w:sz w:val="24"/>
                                          </w:rPr>
                                          <w:t>Employees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2400300" y="-262890"/>
                                      <a:ext cx="1424940" cy="525780"/>
                                    </a:xfrm>
                                    <a:prstGeom prst="rect">
                                      <a:avLst/>
                                    </a:prstGeom>
                                  </wps:spPr>
                                  <wps:style>
                                    <a:lnRef idx="2">
                                      <a:schemeClr val="dk1"/>
                                    </a:lnRef>
                                    <a:fillRef idx="1">
                                      <a:schemeClr val="lt1"/>
                                    </a:fillRef>
                                    <a:effectRef idx="0">
                                      <a:schemeClr val="dk1"/>
                                    </a:effectRef>
                                    <a:fontRef idx="minor">
                                      <a:schemeClr val="dk1"/>
                                    </a:fontRef>
                                  </wps:style>
                                  <wps:txbx>
                                    <w:txbxContent>
                                      <w:p w14:paraId="4F2801AE" w14:textId="77777777" w:rsidR="00227727" w:rsidRPr="00423236" w:rsidRDefault="00227727" w:rsidP="00227727">
                                        <w:pPr>
                                          <w:jc w:val="center"/>
                                          <w:rPr>
                                            <w:rFonts w:ascii="Arial" w:hAnsi="Arial" w:cs="Arial"/>
                                            <w:sz w:val="24"/>
                                          </w:rPr>
                                        </w:pPr>
                                        <w:r>
                                          <w:rPr>
                                            <w:rFonts w:ascii="Arial" w:hAnsi="Arial" w:cs="Arial"/>
                                            <w:sz w:val="24"/>
                                          </w:rPr>
                                          <w:t>Employees Stress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220980" y="-1859280"/>
                                      <a:ext cx="1424940" cy="525780"/>
                                    </a:xfrm>
                                    <a:prstGeom prst="rect">
                                      <a:avLst/>
                                    </a:prstGeom>
                                  </wps:spPr>
                                  <wps:style>
                                    <a:lnRef idx="2">
                                      <a:schemeClr val="dk1"/>
                                    </a:lnRef>
                                    <a:fillRef idx="1">
                                      <a:schemeClr val="lt1"/>
                                    </a:fillRef>
                                    <a:effectRef idx="0">
                                      <a:schemeClr val="dk1"/>
                                    </a:effectRef>
                                    <a:fontRef idx="minor">
                                      <a:schemeClr val="dk1"/>
                                    </a:fontRef>
                                  </wps:style>
                                  <wps:txbx>
                                    <w:txbxContent>
                                      <w:p w14:paraId="4CD54A33" w14:textId="77777777" w:rsidR="00227727" w:rsidRPr="00423236" w:rsidRDefault="00227727" w:rsidP="00227727">
                                        <w:pPr>
                                          <w:jc w:val="center"/>
                                          <w:rPr>
                                            <w:rFonts w:ascii="Arial" w:hAnsi="Arial" w:cs="Arial"/>
                                            <w:sz w:val="24"/>
                                          </w:rPr>
                                        </w:pPr>
                                        <w:r>
                                          <w:rPr>
                                            <w:rFonts w:ascii="Arial" w:hAnsi="Arial" w:cs="Arial"/>
                                            <w:sz w:val="24"/>
                                          </w:rPr>
                                          <w:t>Human Resource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 name="Straight Arrow Connector 11"/>
                                <wps:cNvCnPr>
                                  <a:stCxn id="6" idx="3"/>
                                  <a:endCxn id="9" idx="1"/>
                                </wps:cNvCnPr>
                                <wps:spPr>
                                  <a:xfrm flipV="1">
                                    <a:off x="1424940" y="262890"/>
                                    <a:ext cx="975360" cy="19659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 name="Straight Arrow Connector 13"/>
                                <wps:cNvCnPr>
                                  <a:stCxn id="9" idx="3"/>
                                  <a:endCxn id="7" idx="1"/>
                                </wps:cNvCnPr>
                                <wps:spPr>
                                  <a:xfrm>
                                    <a:off x="3825240" y="262890"/>
                                    <a:ext cx="1242060" cy="1866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 name="Straight Arrow Connector 14"/>
                                <wps:cNvCnPr>
                                  <a:stCxn id="6" idx="3"/>
                                  <a:endCxn id="10" idx="1"/>
                                </wps:cNvCnPr>
                                <wps:spPr>
                                  <a:xfrm flipV="1">
                                    <a:off x="1424940" y="1318260"/>
                                    <a:ext cx="975360" cy="9105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 name="Straight Arrow Connector 15"/>
                                <wps:cNvCnPr>
                                  <a:stCxn id="10" idx="3"/>
                                  <a:endCxn id="7" idx="1"/>
                                </wps:cNvCnPr>
                                <wps:spPr>
                                  <a:xfrm>
                                    <a:off x="3825240" y="1318260"/>
                                    <a:ext cx="1242060" cy="8115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a:stCxn id="6" idx="3"/>
                                  <a:endCxn id="7" idx="1"/>
                                </wps:cNvCnPr>
                                <wps:spPr>
                                  <a:xfrm flipV="1">
                                    <a:off x="1424940" y="2129790"/>
                                    <a:ext cx="3642360" cy="990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9" name="Rectangle 19"/>
                              <wps:cNvSpPr/>
                              <wps:spPr>
                                <a:xfrm>
                                  <a:off x="3611880" y="2007870"/>
                                  <a:ext cx="464820" cy="22098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D8C6623" w14:textId="77777777" w:rsidR="00227727" w:rsidRDefault="00227727" w:rsidP="00227727">
                                    <w:pPr>
                                      <w:jc w:val="center"/>
                                    </w:pPr>
                                    <w:r>
                                      <w:t>H1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1424940" y="1470660"/>
                                  <a:ext cx="464820" cy="2286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E371DDC" w14:textId="77777777" w:rsidR="00227727" w:rsidRDefault="00227727" w:rsidP="00227727">
                                    <w:pPr>
                                      <w:jc w:val="center"/>
                                    </w:pPr>
                                    <w:r>
                                      <w:t>H2a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1699260" y="1775460"/>
                                  <a:ext cx="464820" cy="2286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3817643" w14:textId="77777777" w:rsidR="00227727" w:rsidRDefault="00227727" w:rsidP="00227727">
                                    <w:pPr>
                                      <w:jc w:val="center"/>
                                    </w:pPr>
                                    <w:r>
                                      <w:t>H2b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4427220" y="1249680"/>
                                  <a:ext cx="464820" cy="2286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8A2AD0D" w14:textId="77777777" w:rsidR="00227727" w:rsidRDefault="00227727" w:rsidP="00227727">
                                    <w:pPr>
                                      <w:jc w:val="center"/>
                                    </w:pPr>
                                    <w:r>
                                      <w:t>H3a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4297680" y="1699260"/>
                                  <a:ext cx="464820" cy="2286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3D594DA" w14:textId="77777777" w:rsidR="00227727" w:rsidRDefault="00227727" w:rsidP="00227727">
                                    <w:pPr>
                                      <w:jc w:val="center"/>
                                    </w:pPr>
                                    <w:r>
                                      <w:t>H3b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3764280" y="2777490"/>
                                  <a:ext cx="464820" cy="22098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43BC53D3" w14:textId="77777777" w:rsidR="00227727" w:rsidRDefault="00227727" w:rsidP="00227727">
                                    <w:pPr>
                                      <w:jc w:val="center"/>
                                    </w:pPr>
                                    <w:r>
                                      <w:t>H4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1150620" y="247650"/>
                                  <a:ext cx="464820" cy="220980"/>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2AE89D52" w14:textId="77777777" w:rsidR="00227727" w:rsidRDefault="00227727" w:rsidP="00227727">
                                    <w:pPr>
                                      <w:jc w:val="center"/>
                                    </w:pPr>
                                    <w:r>
                                      <w:t>H5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2941320" y="1797372"/>
                                  <a:ext cx="670560" cy="2286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8E81A32" w14:textId="77777777" w:rsidR="00227727" w:rsidRDefault="00227727" w:rsidP="00227727">
                                    <w:pPr>
                                      <w:jc w:val="center"/>
                                    </w:pPr>
                                    <w:r>
                                      <w:t>H2, H3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 name="Elbow Connector 28"/>
                            <wps:cNvCnPr>
                              <a:stCxn id="6" idx="2"/>
                              <a:endCxn id="7" idx="2"/>
                            </wps:cNvCnPr>
                            <wps:spPr>
                              <a:xfrm rot="5400000" flipH="1" flipV="1">
                                <a:off x="3196590" y="575310"/>
                                <a:ext cx="99060" cy="5067300"/>
                              </a:xfrm>
                              <a:prstGeom prst="bentConnector3">
                                <a:avLst>
                                  <a:gd name="adj1" fmla="val -538462"/>
                                </a:avLst>
                              </a:prstGeom>
                              <a:ln>
                                <a:tailEnd type="triangle"/>
                              </a:ln>
                            </wps:spPr>
                            <wps:style>
                              <a:lnRef idx="2">
                                <a:schemeClr val="accent2"/>
                              </a:lnRef>
                              <a:fillRef idx="0">
                                <a:schemeClr val="accent2"/>
                              </a:fillRef>
                              <a:effectRef idx="1">
                                <a:schemeClr val="accent2"/>
                              </a:effectRef>
                              <a:fontRef idx="minor">
                                <a:schemeClr val="tx1"/>
                              </a:fontRef>
                            </wps:style>
                            <wps:bodyPr/>
                          </wps:wsp>
                          <wps:wsp>
                            <wps:cNvPr id="31" name="Elbow Connector 31"/>
                            <wps:cNvCnPr>
                              <a:stCxn id="6" idx="0"/>
                              <a:endCxn id="27" idx="1"/>
                            </wps:cNvCnPr>
                            <wps:spPr>
                              <a:xfrm rot="5400000" flipH="1" flipV="1">
                                <a:off x="793433" y="1140143"/>
                                <a:ext cx="1411605" cy="1573530"/>
                              </a:xfrm>
                              <a:prstGeom prst="bentConnector2">
                                <a:avLst/>
                              </a:prstGeom>
                              <a:ln>
                                <a:tailEnd type="triangle"/>
                              </a:ln>
                            </wps:spPr>
                            <wps:style>
                              <a:lnRef idx="2">
                                <a:schemeClr val="accent6"/>
                              </a:lnRef>
                              <a:fillRef idx="0">
                                <a:schemeClr val="accent6"/>
                              </a:fillRef>
                              <a:effectRef idx="1">
                                <a:schemeClr val="accent6"/>
                              </a:effectRef>
                              <a:fontRef idx="minor">
                                <a:schemeClr val="tx1"/>
                              </a:fontRef>
                            </wps:style>
                            <wps:bodyPr/>
                          </wps:wsp>
                        </wpg:grpSp>
                        <wps:wsp>
                          <wps:cNvPr id="32" name="Straight Arrow Connector 32"/>
                          <wps:cNvCnPr>
                            <a:stCxn id="17" idx="2"/>
                          </wps:cNvCnPr>
                          <wps:spPr>
                            <a:xfrm>
                              <a:off x="712470" y="651510"/>
                              <a:ext cx="590550" cy="541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35" name="Straight Arrow Connector 35"/>
                        <wps:cNvCnPr/>
                        <wps:spPr>
                          <a:xfrm>
                            <a:off x="86360" y="3919086"/>
                            <a:ext cx="118364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7" name="Straight Arrow Connector 37"/>
                        <wps:cNvCnPr/>
                        <wps:spPr>
                          <a:xfrm>
                            <a:off x="2109470" y="3919086"/>
                            <a:ext cx="1055370" cy="0"/>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wps:wsp>
                        <wps:cNvPr id="38" name="Straight Arrow Connector 38"/>
                        <wps:cNvCnPr/>
                        <wps:spPr>
                          <a:xfrm>
                            <a:off x="4166870" y="3919086"/>
                            <a:ext cx="1229360" cy="0"/>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BF0AFB4" id="Group 36" o:spid="_x0000_s1026" style="position:absolute;left:0;text-align:left;margin-left:7.05pt;margin-top:8.85pt;width:534.6pt;height:308.6pt;z-index:251659264;mso-width-relative:margin;mso-height-relative:margin" coordorigin="863" coordsize="67894,391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">
                <v:group id="Group 33" o:spid="_x0000_s1027" style="position:absolute;left:1625;width:67132;height:36652" coordsize="67132,366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">
                  <v:group id="Group 29" o:spid="_x0000_s1028" style="position:absolute;width:67132;height:36652" coordorigin="-2209" coordsize="67132,366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">
                    <v:group id="Group 20" o:spid="_x0000_s1029" style="position:absolute;left:-2209;width:67131;height:36652" coordorigin="-2209,-6667" coordsize="67132,366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">
                      <v:group id="Group 12" o:spid="_x0000_s1030" style="position:absolute;left:-2209;top:-6667;width:67131;height:31584" coordorigin="-2209,-6667" coordsize="67132,31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">
                        <v:group id="Group 8" o:spid="_x0000_s1031" style="position:absolute;left:-2209;top:-6667;width:67131;height:31584" coordorigin="-2209,-19850" coordsize="67132,31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">
                          <v:rect id="Rectangle 27" o:spid="_x0000_s1032" style="position:absolute;left:22860;top:-19850;width:16687;height:2442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" fillcolor="#ffd555 [2167]" strokecolor="#ffc000 [3207]" strokeweight=".5pt">
                            <v:fill color2="#ffcc31 [2615]" rotate="t" colors="0 #ffdd9c;.5 #ffd78e;1 #ffd479" focus="100%" type="gradient">
                              <o:fill v:ext="view" type="gradientUnscaled"/>
                            </v:fill>
                            <v:textbox>
                              <w:txbxContent>
                                <w:p w14:paraId="1AD05C17" w14:textId="77777777" w:rsidR="00227727" w:rsidRDefault="00227727" w:rsidP="00227727">
                                  <w:pPr>
                                    <w:rPr>
                                      <w:rFonts w:ascii="Arial" w:hAnsi="Arial" w:cs="Arial"/>
                                      <w:sz w:val="24"/>
                                    </w:rPr>
                                  </w:pPr>
                                  <w:r>
                                    <w:rPr>
                                      <w:rFonts w:ascii="Arial" w:hAnsi="Arial" w:cs="Arial"/>
                                      <w:sz w:val="24"/>
                                    </w:rPr>
                                    <w:t>Employees’ Well-being</w:t>
                                  </w:r>
                                </w:p>
                                <w:p w14:paraId="466991D5" w14:textId="77777777" w:rsidR="00227727" w:rsidRDefault="00227727" w:rsidP="00227727">
                                  <w:pPr>
                                    <w:rPr>
                                      <w:rFonts w:ascii="Arial" w:hAnsi="Arial" w:cs="Arial"/>
                                      <w:sz w:val="24"/>
                                    </w:rPr>
                                  </w:pPr>
                                </w:p>
                                <w:p w14:paraId="5B0C6A0D" w14:textId="77777777" w:rsidR="00227727" w:rsidRDefault="00227727" w:rsidP="00227727">
                                  <w:pPr>
                                    <w:rPr>
                                      <w:rFonts w:ascii="Arial" w:hAnsi="Arial" w:cs="Arial"/>
                                      <w:sz w:val="24"/>
                                    </w:rPr>
                                  </w:pPr>
                                </w:p>
                                <w:p w14:paraId="064D4E1E" w14:textId="77777777" w:rsidR="00227727" w:rsidRDefault="00227727" w:rsidP="00227727">
                                  <w:pPr>
                                    <w:rPr>
                                      <w:rFonts w:ascii="Arial" w:hAnsi="Arial" w:cs="Arial"/>
                                      <w:sz w:val="24"/>
                                    </w:rPr>
                                  </w:pPr>
                                </w:p>
                                <w:p w14:paraId="5EBA7CC2" w14:textId="77777777" w:rsidR="00227727" w:rsidRDefault="00227727" w:rsidP="00227727">
                                  <w:pPr>
                                    <w:rPr>
                                      <w:rFonts w:ascii="Arial" w:hAnsi="Arial" w:cs="Arial"/>
                                      <w:sz w:val="24"/>
                                    </w:rPr>
                                  </w:pPr>
                                </w:p>
                                <w:p w14:paraId="33511098" w14:textId="77777777" w:rsidR="00227727" w:rsidRDefault="00227727" w:rsidP="00227727">
                                  <w:pPr>
                                    <w:rPr>
                                      <w:rFonts w:ascii="Arial" w:hAnsi="Arial" w:cs="Arial"/>
                                      <w:sz w:val="24"/>
                                    </w:rPr>
                                  </w:pPr>
                                </w:p>
                                <w:p w14:paraId="47F66332" w14:textId="77777777" w:rsidR="00227727" w:rsidRPr="00423236" w:rsidRDefault="00227727" w:rsidP="00227727">
                                  <w:pPr>
                                    <w:rPr>
                                      <w:rFonts w:ascii="Arial" w:hAnsi="Arial" w:cs="Arial"/>
                                      <w:sz w:val="24"/>
                                    </w:rPr>
                                  </w:pPr>
                                </w:p>
                              </w:txbxContent>
                            </v:textbox>
                          </v:rect>
                          <v:rect id="Rectangle 6" o:spid="_x0000_s1033" style="position:absolute;top:6477;width:14249;height:52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" fillcolor="white [3201]" strokecolor="black [3200]" strokeweight="1pt">
                            <v:textbox>
                              <w:txbxContent>
                                <w:p w14:paraId="5248560C" w14:textId="77777777" w:rsidR="00227727" w:rsidRPr="00423236" w:rsidRDefault="00227727" w:rsidP="00227727">
                                  <w:pPr>
                                    <w:jc w:val="center"/>
                                    <w:rPr>
                                      <w:rFonts w:ascii="Arial" w:hAnsi="Arial" w:cs="Arial"/>
                                      <w:sz w:val="24"/>
                                    </w:rPr>
                                  </w:pPr>
                                  <w:r w:rsidRPr="00423236">
                                    <w:rPr>
                                      <w:rFonts w:ascii="Arial" w:hAnsi="Arial" w:cs="Arial"/>
                                      <w:sz w:val="24"/>
                                    </w:rPr>
                                    <w:t>Smarter Working</w:t>
                                  </w:r>
                                </w:p>
                              </w:txbxContent>
                            </v:textbox>
                          </v:rect>
                          <v:rect id="Rectangle 7" o:spid="_x0000_s1034" style="position:absolute;left:50673;top:5486;width:14249;height:52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" fillcolor="white [3201]" strokecolor="black [3200]" strokeweight="1pt">
                            <v:textbox>
                              <w:txbxContent>
                                <w:p w14:paraId="3C19DEE1" w14:textId="77777777" w:rsidR="00227727" w:rsidRPr="00423236" w:rsidRDefault="00227727" w:rsidP="00227727">
                                  <w:pPr>
                                    <w:jc w:val="center"/>
                                    <w:rPr>
                                      <w:rFonts w:ascii="Arial" w:hAnsi="Arial" w:cs="Arial"/>
                                      <w:sz w:val="24"/>
                                    </w:rPr>
                                  </w:pPr>
                                  <w:r>
                                    <w:rPr>
                                      <w:rFonts w:ascii="Arial" w:hAnsi="Arial" w:cs="Arial"/>
                                      <w:sz w:val="24"/>
                                    </w:rPr>
                                    <w:t>Job Performance</w:t>
                                  </w:r>
                                </w:p>
                              </w:txbxContent>
                            </v:textbox>
                          </v:rect>
                          <v:rect id="Rectangle 9" o:spid="_x0000_s1035" style="position:absolute;left:24003;top:-13182;width:14249;height:52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" fillcolor="white [3201]" strokecolor="black [3200]" strokeweight="1pt">
                            <v:textbox>
                              <w:txbxContent>
                                <w:p w14:paraId="47883362" w14:textId="77777777" w:rsidR="00227727" w:rsidRPr="00423236" w:rsidRDefault="00227727" w:rsidP="00227727">
                                  <w:pPr>
                                    <w:jc w:val="center"/>
                                    <w:rPr>
                                      <w:rFonts w:ascii="Arial" w:hAnsi="Arial" w:cs="Arial"/>
                                      <w:sz w:val="24"/>
                                    </w:rPr>
                                  </w:pPr>
                                  <w:r>
                                    <w:rPr>
                                      <w:rFonts w:ascii="Arial" w:hAnsi="Arial" w:cs="Arial"/>
                                      <w:sz w:val="24"/>
                                    </w:rPr>
                                    <w:t>Employees Satisfaction</w:t>
                                  </w:r>
                                </w:p>
                              </w:txbxContent>
                            </v:textbox>
                          </v:rect>
                          <v:rect id="Rectangle 10" o:spid="_x0000_s1036" style="position:absolute;left:24003;top:-2628;width:14249;height:52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" fillcolor="white [3201]" strokecolor="black [3200]" strokeweight="1pt">
                            <v:textbox>
                              <w:txbxContent>
                                <w:p w14:paraId="4F2801AE" w14:textId="77777777" w:rsidR="00227727" w:rsidRPr="00423236" w:rsidRDefault="00227727" w:rsidP="00227727">
                                  <w:pPr>
                                    <w:jc w:val="center"/>
                                    <w:rPr>
                                      <w:rFonts w:ascii="Arial" w:hAnsi="Arial" w:cs="Arial"/>
                                      <w:sz w:val="24"/>
                                    </w:rPr>
                                  </w:pPr>
                                  <w:r>
                                    <w:rPr>
                                      <w:rFonts w:ascii="Arial" w:hAnsi="Arial" w:cs="Arial"/>
                                      <w:sz w:val="24"/>
                                    </w:rPr>
                                    <w:t>Employees Stress</w:t>
                                  </w:r>
                                </w:p>
                              </w:txbxContent>
                            </v:textbox>
                          </v:rect>
                          <v:rect id="Rectangle 17" o:spid="_x0000_s1037" style="position:absolute;left:-2209;top:-18592;width:14248;height:52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" fillcolor="white [3201]" strokecolor="black [3200]" strokeweight="1pt">
                            <v:textbox>
                              <w:txbxContent>
                                <w:p w14:paraId="4CD54A33" w14:textId="77777777" w:rsidR="00227727" w:rsidRPr="00423236" w:rsidRDefault="00227727" w:rsidP="00227727">
                                  <w:pPr>
                                    <w:jc w:val="center"/>
                                    <w:rPr>
                                      <w:rFonts w:ascii="Arial" w:hAnsi="Arial" w:cs="Arial"/>
                                      <w:sz w:val="24"/>
                                    </w:rPr>
                                  </w:pPr>
                                  <w:r>
                                    <w:rPr>
                                      <w:rFonts w:ascii="Arial" w:hAnsi="Arial" w:cs="Arial"/>
                                      <w:sz w:val="24"/>
                                    </w:rPr>
                                    <w:t>Human Resource Management</w:t>
                                  </w:r>
                                </w:p>
                              </w:txbxContent>
                            </v:textbox>
                          </v:rect>
                        </v:group>
                        <v:shapetype id="_x0000_t32" coordsize="21600,21600" o:spt="32" o:oned="t" path="m,l21600,21600e" filled="f">
                          <v:path arrowok="t" fillok="f" o:connecttype="none"/>
                          <o:lock v:ext="edit" shapetype="t"/>
                        </v:shapetype>
                        <v:shape id="Straight Arrow Connector 11" o:spid="_x0000_s1038" type="#_x0000_t32" style="position:absolute;left:14249;top:2628;width:9754;height:1966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" strokecolor="black [3200]" strokeweight=".5pt">
                          <v:stroke endarrow="block" joinstyle="miter"/>
                        </v:shape>
                        <v:shape id="Straight Arrow Connector 13" o:spid="_x0000_s1039" type="#_x0000_t32" style="position:absolute;left:38252;top:2628;width:12421;height:1866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" strokecolor="black [3200]" strokeweight=".5pt">
                          <v:stroke endarrow="block" joinstyle="miter"/>
                        </v:shape>
                        <v:shape id="Straight Arrow Connector 14" o:spid="_x0000_s1040" type="#_x0000_t32" style="position:absolute;left:14249;top:13182;width:9754;height:910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" strokecolor="black [3200]" strokeweight=".5pt">
                          <v:stroke endarrow="block" joinstyle="miter"/>
                        </v:shape>
                        <v:shape id="Straight Arrow Connector 15" o:spid="_x0000_s1041" type="#_x0000_t32" style="position:absolute;left:38252;top:13182;width:12421;height:811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" strokecolor="black [3200]" strokeweight=".5pt">
                          <v:stroke endarrow="block" joinstyle="miter"/>
                        </v:shape>
                        <v:shape id="Straight Arrow Connector 16" o:spid="_x0000_s1042" type="#_x0000_t32" style="position:absolute;left:14249;top:21297;width:36424;height:991;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" strokecolor="black [3200]" strokeweight=".5pt">
                          <v:stroke endarrow="block" joinstyle="miter"/>
                        </v:shape>
                      </v:group>
                      <v:rect id="Rectangle 19" o:spid="_x0000_s1043" style="position:absolute;left:36118;top:20078;width:4649;height:22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" fillcolor="white [3201]" stroked="f" strokeweight="1pt">
                        <v:textbox>
                          <w:txbxContent>
                            <w:p w14:paraId="2D8C6623" w14:textId="77777777" w:rsidR="00227727" w:rsidRDefault="00227727" w:rsidP="00227727">
                              <w:pPr>
                                <w:jc w:val="center"/>
                              </w:pPr>
                              <w:r>
                                <w:t>H1</w:t>
                              </w:r>
                            </w:p>
                          </w:txbxContent>
                        </v:textbox>
                      </v:rect>
                      <v:rect id="Rectangle 21" o:spid="_x0000_s1044" style="position:absolute;left:14249;top:14706;width:4648;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" fillcolor="white [3201]" stroked="f" strokeweight="1pt">
                        <v:textbox>
                          <w:txbxContent>
                            <w:p w14:paraId="7E371DDC" w14:textId="77777777" w:rsidR="00227727" w:rsidRDefault="00227727" w:rsidP="00227727">
                              <w:pPr>
                                <w:jc w:val="center"/>
                              </w:pPr>
                              <w:r>
                                <w:t>H2a</w:t>
                              </w:r>
                            </w:p>
                          </w:txbxContent>
                        </v:textbox>
                      </v:rect>
                      <v:rect id="Rectangle 23" o:spid="_x0000_s1045" style="position:absolute;left:16992;top:17754;width:4648;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" fillcolor="white [3201]" stroked="f" strokeweight="1pt">
                        <v:textbox>
                          <w:txbxContent>
                            <w:p w14:paraId="23817643" w14:textId="77777777" w:rsidR="00227727" w:rsidRDefault="00227727" w:rsidP="00227727">
                              <w:pPr>
                                <w:jc w:val="center"/>
                              </w:pPr>
                              <w:r>
                                <w:t>H2b</w:t>
                              </w:r>
                            </w:p>
                          </w:txbxContent>
                        </v:textbox>
                      </v:rect>
                      <v:rect id="Rectangle 24" o:spid="_x0000_s1046" style="position:absolute;left:44272;top:12496;width:4648;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" fillcolor="white [3201]" stroked="f" strokeweight="1pt">
                        <v:textbox>
                          <w:txbxContent>
                            <w:p w14:paraId="38A2AD0D" w14:textId="77777777" w:rsidR="00227727" w:rsidRDefault="00227727" w:rsidP="00227727">
                              <w:pPr>
                                <w:jc w:val="center"/>
                              </w:pPr>
                              <w:r>
                                <w:t>H3a</w:t>
                              </w:r>
                            </w:p>
                          </w:txbxContent>
                        </v:textbox>
                      </v:rect>
                      <v:rect id="Rectangle 26" o:spid="_x0000_s1047" style="position:absolute;left:42976;top:16992;width:4649;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" fillcolor="white [3201]" stroked="f" strokeweight="1pt">
                        <v:textbox>
                          <w:txbxContent>
                            <w:p w14:paraId="53D594DA" w14:textId="77777777" w:rsidR="00227727" w:rsidRDefault="00227727" w:rsidP="00227727">
                              <w:pPr>
                                <w:jc w:val="center"/>
                              </w:pPr>
                              <w:r>
                                <w:t>H3b</w:t>
                              </w:r>
                            </w:p>
                          </w:txbxContent>
                        </v:textbox>
                      </v:rect>
                      <v:rect id="Rectangle 30" o:spid="_x0000_s1048" style="position:absolute;left:37642;top:27774;width:4649;height:22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" fillcolor="white [3201]" strokecolor="#ed7d31 [3205]" strokeweight="1pt">
                        <v:textbox>
                          <w:txbxContent>
                            <w:p w14:paraId="43BC53D3" w14:textId="77777777" w:rsidR="00227727" w:rsidRDefault="00227727" w:rsidP="00227727">
                              <w:pPr>
                                <w:jc w:val="center"/>
                              </w:pPr>
                              <w:r>
                                <w:t>H4</w:t>
                              </w:r>
                            </w:p>
                          </w:txbxContent>
                        </v:textbox>
                      </v:rect>
                      <v:rect id="Rectangle 34" o:spid="_x0000_s1049" style="position:absolute;left:11506;top:2476;width:4648;height:22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" fillcolor="white [3201]" strokecolor="#70ad47 [3209]" strokeweight="1pt">
                        <v:textbox>
                          <w:txbxContent>
                            <w:p w14:paraId="2AE89D52" w14:textId="77777777" w:rsidR="00227727" w:rsidRDefault="00227727" w:rsidP="00227727">
                              <w:pPr>
                                <w:jc w:val="center"/>
                              </w:pPr>
                              <w:r>
                                <w:t>H5</w:t>
                              </w:r>
                            </w:p>
                          </w:txbxContent>
                        </v:textbox>
                      </v:rect>
                      <v:rect id="Rectangle 39" o:spid="_x0000_s1050" style="position:absolute;left:29413;top:17973;width:6705;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" fillcolor="white [3201]" stroked="f" strokeweight="1pt">
                        <v:textbox>
                          <w:txbxContent>
                            <w:p w14:paraId="38E81A32" w14:textId="77777777" w:rsidR="00227727" w:rsidRDefault="00227727" w:rsidP="00227727">
                              <w:pPr>
                                <w:jc w:val="center"/>
                              </w:pPr>
                              <w:r>
                                <w:t>H2, H3</w:t>
                              </w:r>
                            </w:p>
                          </w:txbxContent>
                        </v:textbox>
                      </v:rect>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8" o:spid="_x0000_s1051" type="#_x0000_t34" style="position:absolute;left:31966;top:5752;width:990;height:50673;rotation:90;flip:x y;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" adj="-116308" strokecolor="#ed7d31 [3205]" strokeweight="1pt">
                      <v:stroke endarrow="block"/>
                    </v:shape>
                    <v:shapetype id="_x0000_t33" coordsize="21600,21600" o:spt="33" o:oned="t" path="m,l21600,r,21600e" filled="f">
                      <v:stroke joinstyle="miter"/>
                      <v:path arrowok="t" fillok="f" o:connecttype="none"/>
                      <o:lock v:ext="edit" shapetype="t"/>
                    </v:shapetype>
                    <v:shape id="Elbow Connector 31" o:spid="_x0000_s1052" type="#_x0000_t33" style="position:absolute;left:7934;top:11401;width:14116;height:15736;rotation:90;flip:x y;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" strokecolor="#70ad47 [3209]" strokeweight="1pt">
                      <v:stroke endarrow="block"/>
                    </v:shape>
                  </v:group>
                  <v:shape id="Straight Arrow Connector 32" o:spid="_x0000_s1053" type="#_x0000_t32" style="position:absolute;left:7124;top:6515;width:5906;height:541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" strokecolor="black [3200]" strokeweight=".5pt">
                    <v:stroke endarrow="block" joinstyle="miter"/>
                  </v:shape>
                </v:group>
                <v:shape id="Straight Arrow Connector 35" o:spid="_x0000_s1054" type="#_x0000_t32" style="position:absolute;left:863;top:39190;width:1183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" strokecolor="black [3200]" strokeweight="1pt">
                  <v:stroke endarrow="block" joinstyle="miter"/>
                </v:shape>
                <v:shape id="Straight Arrow Connector 37" o:spid="_x0000_s1055" type="#_x0000_t32" style="position:absolute;left:21094;top:39190;width:1055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" strokecolor="#ed7d31 [3205]" strokeweight="1pt">
                  <v:stroke endarrow="block" joinstyle="miter"/>
                </v:shape>
                <v:shape id="Straight Arrow Connector 38" o:spid="_x0000_s1056" type="#_x0000_t32" style="position:absolute;left:41668;top:39190;width:1229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" strokecolor="#70ad47 [3209]" strokeweight="1pt">
                  <v:stroke endarrow="block" joinstyle="miter"/>
                </v:shape>
              </v:group>
            </w:pict>
          </mc:Fallback>
        </mc:AlternateContent>
      </w:r>
    </w:p>
    <w:p w14:paraId="2BF0D083" w14:textId="77777777" w:rsidR="00227727" w:rsidRPr="00227727" w:rsidRDefault="00227727" w:rsidP="00227727">
      <w:pPr>
        <w:spacing w:line="360" w:lineRule="auto"/>
        <w:jc w:val="both"/>
        <w:rPr>
          <w:rFonts w:ascii="Arial" w:hAnsi="Arial" w:cs="Arial"/>
          <w:sz w:val="24"/>
          <w:szCs w:val="28"/>
        </w:rPr>
      </w:pPr>
    </w:p>
    <w:p w14:paraId="507C0D60" w14:textId="77777777" w:rsidR="00227727" w:rsidRPr="00227727" w:rsidRDefault="00227727" w:rsidP="00227727">
      <w:pPr>
        <w:spacing w:line="360" w:lineRule="auto"/>
        <w:jc w:val="both"/>
        <w:rPr>
          <w:rFonts w:ascii="Arial" w:hAnsi="Arial" w:cs="Arial"/>
          <w:sz w:val="24"/>
          <w:szCs w:val="28"/>
        </w:rPr>
      </w:pPr>
    </w:p>
    <w:p w14:paraId="421A0945" w14:textId="77777777" w:rsidR="00227727" w:rsidRPr="00227727" w:rsidRDefault="00227727" w:rsidP="00227727">
      <w:pPr>
        <w:spacing w:line="360" w:lineRule="auto"/>
        <w:jc w:val="both"/>
        <w:rPr>
          <w:rFonts w:ascii="Arial" w:hAnsi="Arial" w:cs="Arial"/>
          <w:sz w:val="24"/>
          <w:szCs w:val="28"/>
        </w:rPr>
      </w:pPr>
    </w:p>
    <w:p w14:paraId="7BE27D65" w14:textId="77777777" w:rsidR="00227727" w:rsidRPr="00227727" w:rsidRDefault="00227727" w:rsidP="00227727">
      <w:pPr>
        <w:spacing w:line="360" w:lineRule="auto"/>
        <w:jc w:val="both"/>
        <w:rPr>
          <w:rFonts w:ascii="Arial" w:hAnsi="Arial" w:cs="Arial"/>
          <w:sz w:val="24"/>
          <w:szCs w:val="28"/>
        </w:rPr>
      </w:pPr>
    </w:p>
    <w:p w14:paraId="3AF18A05" w14:textId="77777777" w:rsidR="00227727" w:rsidRPr="00227727" w:rsidRDefault="00227727" w:rsidP="00227727">
      <w:pPr>
        <w:spacing w:line="360" w:lineRule="auto"/>
        <w:jc w:val="both"/>
        <w:rPr>
          <w:rFonts w:ascii="Arial" w:hAnsi="Arial" w:cs="Arial"/>
          <w:sz w:val="24"/>
          <w:szCs w:val="28"/>
        </w:rPr>
      </w:pPr>
    </w:p>
    <w:p w14:paraId="5F48C518" w14:textId="77777777" w:rsidR="00227727" w:rsidRPr="00227727" w:rsidRDefault="00227727" w:rsidP="00227727">
      <w:pPr>
        <w:spacing w:line="360" w:lineRule="auto"/>
        <w:jc w:val="both"/>
        <w:rPr>
          <w:rFonts w:ascii="Arial" w:hAnsi="Arial" w:cs="Arial"/>
          <w:sz w:val="24"/>
          <w:szCs w:val="28"/>
        </w:rPr>
      </w:pPr>
    </w:p>
    <w:p w14:paraId="05BE1D69" w14:textId="77777777" w:rsidR="00227727" w:rsidRPr="00227727" w:rsidRDefault="00227727" w:rsidP="00227727">
      <w:pPr>
        <w:spacing w:line="360" w:lineRule="auto"/>
        <w:jc w:val="both"/>
        <w:rPr>
          <w:rFonts w:ascii="Arial" w:hAnsi="Arial" w:cs="Arial"/>
          <w:sz w:val="24"/>
          <w:szCs w:val="28"/>
        </w:rPr>
      </w:pPr>
    </w:p>
    <w:p w14:paraId="697B0A00" w14:textId="77777777" w:rsidR="00227727" w:rsidRPr="00227727" w:rsidRDefault="00227727" w:rsidP="00227727">
      <w:pPr>
        <w:spacing w:line="360" w:lineRule="auto"/>
        <w:jc w:val="both"/>
        <w:rPr>
          <w:rFonts w:ascii="Arial" w:hAnsi="Arial" w:cs="Arial"/>
          <w:sz w:val="24"/>
          <w:szCs w:val="28"/>
        </w:rPr>
      </w:pPr>
    </w:p>
    <w:p w14:paraId="303B9F6E" w14:textId="77777777" w:rsidR="00227727" w:rsidRPr="00227727" w:rsidRDefault="00227727" w:rsidP="00227727">
      <w:pPr>
        <w:spacing w:line="360" w:lineRule="auto"/>
        <w:jc w:val="both"/>
        <w:rPr>
          <w:rFonts w:ascii="Arial" w:hAnsi="Arial" w:cs="Arial"/>
          <w:sz w:val="24"/>
          <w:szCs w:val="28"/>
        </w:rPr>
      </w:pPr>
    </w:p>
    <w:p w14:paraId="7A601B58" w14:textId="77777777" w:rsidR="00227727" w:rsidRPr="00227727" w:rsidRDefault="00227727" w:rsidP="00227727">
      <w:pPr>
        <w:rPr>
          <w:rFonts w:ascii="Arial" w:hAnsi="Arial" w:cs="Arial"/>
        </w:rPr>
      </w:pPr>
      <w:r w:rsidRPr="00227727">
        <w:rPr>
          <w:rFonts w:ascii="Arial" w:hAnsi="Arial" w:cs="Arial"/>
        </w:rPr>
        <w:tab/>
      </w:r>
      <w:r w:rsidRPr="00227727">
        <w:rPr>
          <w:rFonts w:ascii="Arial" w:hAnsi="Arial" w:cs="Arial"/>
        </w:rPr>
        <w:tab/>
        <w:t xml:space="preserve">        </w:t>
      </w:r>
      <w:r w:rsidRPr="00227727">
        <w:rPr>
          <w:rFonts w:ascii="Arial" w:hAnsi="Arial" w:cs="Arial"/>
        </w:rPr>
        <w:br/>
        <w:t xml:space="preserve">                                   </w:t>
      </w:r>
      <w:r w:rsidRPr="00227727">
        <w:rPr>
          <w:rFonts w:ascii="Arial" w:hAnsi="Arial" w:cs="Arial"/>
          <w:sz w:val="22"/>
        </w:rPr>
        <w:t>Direct effects                            Mediating effect                                Moderating effect</w:t>
      </w:r>
    </w:p>
    <w:p w14:paraId="5405FDBF" w14:textId="77777777" w:rsidR="00227727" w:rsidRPr="00227727" w:rsidRDefault="00227727" w:rsidP="00227727">
      <w:pPr>
        <w:jc w:val="center"/>
        <w:rPr>
          <w:rFonts w:ascii="Arial" w:hAnsi="Arial" w:cs="Arial"/>
          <w:sz w:val="24"/>
          <w:szCs w:val="24"/>
        </w:rPr>
      </w:pPr>
      <w:r w:rsidRPr="00227727">
        <w:rPr>
          <w:rFonts w:ascii="Arial" w:hAnsi="Arial" w:cs="Arial"/>
          <w:b/>
          <w:sz w:val="24"/>
          <w:szCs w:val="24"/>
        </w:rPr>
        <w:t>Figure 2.4.</w:t>
      </w:r>
      <w:r w:rsidRPr="00227727">
        <w:rPr>
          <w:rFonts w:ascii="Arial" w:hAnsi="Arial" w:cs="Arial"/>
          <w:sz w:val="24"/>
          <w:szCs w:val="24"/>
        </w:rPr>
        <w:t xml:space="preserve"> Theoretical Framework</w:t>
      </w:r>
    </w:p>
    <w:p w14:paraId="04E46F1E" w14:textId="77777777" w:rsidR="00227727" w:rsidRPr="00227727" w:rsidRDefault="00227727" w:rsidP="00227727">
      <w:pPr>
        <w:pStyle w:val="NoSpacing"/>
        <w:rPr>
          <w:rFonts w:ascii="Arial" w:hAnsi="Arial" w:cs="Arial"/>
        </w:rPr>
      </w:pPr>
    </w:p>
    <w:p w14:paraId="4A87867F" w14:textId="77777777" w:rsidR="00227727" w:rsidRPr="00227727" w:rsidRDefault="00227727" w:rsidP="00227727">
      <w:pPr>
        <w:pStyle w:val="NoSpacing"/>
        <w:rPr>
          <w:rFonts w:ascii="Arial" w:hAnsi="Arial" w:cs="Arial"/>
        </w:rPr>
      </w:pPr>
    </w:p>
    <w:p w14:paraId="4C3FA39B" w14:textId="77777777" w:rsidR="00227727" w:rsidRPr="00227727" w:rsidRDefault="00227727" w:rsidP="00227727">
      <w:pPr>
        <w:pStyle w:val="NoSpacing"/>
        <w:rPr>
          <w:rFonts w:ascii="Arial" w:hAnsi="Arial" w:cs="Arial"/>
        </w:rPr>
      </w:pPr>
    </w:p>
    <w:p w14:paraId="4074599C" w14:textId="77777777" w:rsidR="00227727" w:rsidRPr="00227727" w:rsidRDefault="00227727" w:rsidP="00227727">
      <w:pPr>
        <w:pStyle w:val="NoSpacing"/>
        <w:rPr>
          <w:rFonts w:ascii="Arial" w:hAnsi="Arial" w:cs="Arial"/>
        </w:rPr>
      </w:pPr>
    </w:p>
    <w:p w14:paraId="4A9E8984" w14:textId="77777777" w:rsidR="00227727" w:rsidRPr="00227727" w:rsidRDefault="00227727" w:rsidP="00227727">
      <w:pPr>
        <w:pStyle w:val="NoSpacing"/>
        <w:rPr>
          <w:rFonts w:ascii="Arial" w:hAnsi="Arial" w:cs="Arial"/>
        </w:rPr>
      </w:pPr>
    </w:p>
    <w:p w14:paraId="3F0E709C" w14:textId="77777777" w:rsidR="00227727" w:rsidRPr="00227727" w:rsidRDefault="00227727" w:rsidP="00227727">
      <w:pPr>
        <w:pStyle w:val="NoSpacing"/>
        <w:rPr>
          <w:rFonts w:ascii="Arial" w:hAnsi="Arial" w:cs="Arial"/>
        </w:rPr>
      </w:pPr>
    </w:p>
    <w:p w14:paraId="2802DA7A" w14:textId="77777777" w:rsidR="00227727" w:rsidRPr="00227727" w:rsidRDefault="00227727" w:rsidP="00227727">
      <w:pPr>
        <w:pStyle w:val="NoSpacing"/>
        <w:rPr>
          <w:rFonts w:ascii="Arial" w:hAnsi="Arial" w:cs="Arial"/>
        </w:rPr>
      </w:pPr>
    </w:p>
    <w:p w14:paraId="108450F1" w14:textId="77777777" w:rsidR="00227727" w:rsidRPr="00227727" w:rsidRDefault="00227727" w:rsidP="00227727">
      <w:pPr>
        <w:pStyle w:val="NoSpacing"/>
        <w:rPr>
          <w:rFonts w:ascii="Arial" w:hAnsi="Arial" w:cs="Arial"/>
        </w:rPr>
      </w:pPr>
    </w:p>
    <w:p w14:paraId="3F21E021" w14:textId="77777777" w:rsidR="00227727" w:rsidRPr="00227727" w:rsidRDefault="00227727" w:rsidP="00227727">
      <w:pPr>
        <w:pStyle w:val="NoSpacing"/>
        <w:rPr>
          <w:rFonts w:ascii="Arial" w:hAnsi="Arial" w:cs="Arial"/>
        </w:rPr>
      </w:pPr>
    </w:p>
    <w:p w14:paraId="11A01CC5" w14:textId="77777777" w:rsidR="00227727" w:rsidRPr="00227727" w:rsidRDefault="00227727" w:rsidP="00227727">
      <w:pPr>
        <w:pStyle w:val="NoSpacing"/>
        <w:rPr>
          <w:rFonts w:ascii="Arial" w:hAnsi="Arial" w:cs="Arial"/>
        </w:rPr>
      </w:pPr>
    </w:p>
    <w:p w14:paraId="467C6FAF" w14:textId="77777777" w:rsidR="00227727" w:rsidRPr="00227727" w:rsidRDefault="00227727" w:rsidP="00227727">
      <w:pPr>
        <w:pStyle w:val="NoSpacing"/>
        <w:rPr>
          <w:rFonts w:ascii="Arial" w:hAnsi="Arial" w:cs="Arial"/>
        </w:rPr>
      </w:pPr>
    </w:p>
    <w:p w14:paraId="2ED5564E" w14:textId="77777777" w:rsidR="00227727" w:rsidRPr="00227727" w:rsidRDefault="00227727" w:rsidP="00227727">
      <w:pPr>
        <w:pStyle w:val="NoSpacing"/>
        <w:rPr>
          <w:rFonts w:ascii="Arial" w:hAnsi="Arial" w:cs="Arial"/>
        </w:rPr>
      </w:pPr>
    </w:p>
    <w:p w14:paraId="495CBDFC" w14:textId="77777777" w:rsidR="00227727" w:rsidRPr="00227727" w:rsidRDefault="00227727" w:rsidP="00227727">
      <w:pPr>
        <w:pStyle w:val="NoSpacing"/>
        <w:rPr>
          <w:rFonts w:ascii="Arial" w:hAnsi="Arial" w:cs="Arial"/>
        </w:rPr>
      </w:pPr>
    </w:p>
    <w:p w14:paraId="05F1499D" w14:textId="77777777" w:rsidR="00227727" w:rsidRPr="00227727" w:rsidRDefault="00227727" w:rsidP="00227727">
      <w:pPr>
        <w:pStyle w:val="NoSpacing"/>
        <w:rPr>
          <w:rFonts w:ascii="Arial" w:hAnsi="Arial" w:cs="Arial"/>
        </w:rPr>
      </w:pPr>
    </w:p>
    <w:p w14:paraId="14A1B014" w14:textId="77777777" w:rsidR="00227727" w:rsidRPr="00227727" w:rsidRDefault="00227727" w:rsidP="00227727">
      <w:pPr>
        <w:pStyle w:val="NoSpacing"/>
        <w:rPr>
          <w:rFonts w:ascii="Arial" w:hAnsi="Arial" w:cs="Arial"/>
        </w:rPr>
      </w:pPr>
    </w:p>
    <w:p w14:paraId="19ECB0E8" w14:textId="77777777" w:rsidR="00227727" w:rsidRPr="00227727" w:rsidRDefault="00227727" w:rsidP="00227727">
      <w:pPr>
        <w:pStyle w:val="NoSpacing"/>
        <w:rPr>
          <w:rFonts w:ascii="Arial" w:hAnsi="Arial" w:cs="Arial"/>
        </w:rPr>
      </w:pPr>
    </w:p>
    <w:p w14:paraId="284B6C41" w14:textId="77777777" w:rsidR="00227727" w:rsidRPr="00227727" w:rsidRDefault="00227727" w:rsidP="00227727">
      <w:pPr>
        <w:pStyle w:val="NoSpacing"/>
        <w:rPr>
          <w:rFonts w:ascii="Arial" w:hAnsi="Arial" w:cs="Arial"/>
        </w:rPr>
      </w:pPr>
    </w:p>
    <w:p w14:paraId="7084C763" w14:textId="77777777" w:rsidR="00227727" w:rsidRPr="00227727" w:rsidRDefault="00227727" w:rsidP="00227727">
      <w:pPr>
        <w:pStyle w:val="NoSpacing"/>
        <w:rPr>
          <w:rFonts w:ascii="Arial" w:hAnsi="Arial" w:cs="Arial"/>
        </w:rPr>
      </w:pPr>
    </w:p>
    <w:p w14:paraId="30E20FA3" w14:textId="77777777" w:rsidR="00227727" w:rsidRPr="00227727" w:rsidRDefault="00227727" w:rsidP="00227727">
      <w:pPr>
        <w:pStyle w:val="NoSpacing"/>
        <w:rPr>
          <w:rFonts w:ascii="Arial" w:hAnsi="Arial" w:cs="Arial"/>
        </w:rPr>
      </w:pPr>
    </w:p>
    <w:p w14:paraId="6B7E9EA1" w14:textId="77777777" w:rsidR="00227727" w:rsidRPr="00227727" w:rsidRDefault="00227727" w:rsidP="00227727">
      <w:pPr>
        <w:pStyle w:val="NoSpacing"/>
        <w:rPr>
          <w:rFonts w:ascii="Arial" w:hAnsi="Arial" w:cs="Arial"/>
        </w:rPr>
      </w:pPr>
    </w:p>
    <w:p w14:paraId="73986C17" w14:textId="77777777" w:rsidR="00227727" w:rsidRPr="00227727" w:rsidRDefault="00227727" w:rsidP="00227727">
      <w:pPr>
        <w:pStyle w:val="NoSpacing"/>
        <w:rPr>
          <w:rFonts w:ascii="Arial" w:hAnsi="Arial" w:cs="Arial"/>
        </w:rPr>
      </w:pPr>
    </w:p>
    <w:p w14:paraId="397793E2" w14:textId="77777777" w:rsidR="00227727" w:rsidRPr="00227727" w:rsidRDefault="00227727" w:rsidP="00227727">
      <w:pPr>
        <w:pStyle w:val="NoSpacing"/>
        <w:rPr>
          <w:rFonts w:ascii="Arial" w:hAnsi="Arial" w:cs="Arial"/>
        </w:rPr>
      </w:pPr>
    </w:p>
    <w:p w14:paraId="3B7123BD" w14:textId="77777777" w:rsidR="00227727" w:rsidRPr="00227727" w:rsidRDefault="00227727" w:rsidP="00227727">
      <w:pPr>
        <w:pStyle w:val="NoSpacing"/>
        <w:rPr>
          <w:rFonts w:ascii="Arial" w:hAnsi="Arial" w:cs="Arial"/>
        </w:rPr>
      </w:pPr>
    </w:p>
    <w:p w14:paraId="7E74CCF1" w14:textId="77777777" w:rsidR="00227727" w:rsidRPr="00227727" w:rsidRDefault="00227727" w:rsidP="00227727">
      <w:pPr>
        <w:pStyle w:val="NoSpacing"/>
        <w:rPr>
          <w:rFonts w:ascii="Arial" w:hAnsi="Arial" w:cs="Arial"/>
        </w:rPr>
      </w:pPr>
    </w:p>
    <w:p w14:paraId="61E73E19" w14:textId="77777777" w:rsidR="00227727" w:rsidRPr="00227727" w:rsidRDefault="00227727" w:rsidP="00227727">
      <w:pPr>
        <w:pStyle w:val="NoSpacing"/>
        <w:rPr>
          <w:rFonts w:ascii="Arial" w:hAnsi="Arial" w:cs="Arial"/>
        </w:rPr>
      </w:pPr>
    </w:p>
    <w:p w14:paraId="7F462B5B" w14:textId="77777777" w:rsidR="00227727" w:rsidRPr="00227727" w:rsidRDefault="00227727" w:rsidP="00227727">
      <w:pPr>
        <w:pStyle w:val="NoSpacing"/>
        <w:rPr>
          <w:rFonts w:ascii="Arial" w:hAnsi="Arial" w:cs="Arial"/>
        </w:rPr>
      </w:pPr>
    </w:p>
    <w:p w14:paraId="41FA3FF0" w14:textId="77777777" w:rsidR="00227727" w:rsidRPr="00227727" w:rsidRDefault="00227727" w:rsidP="00227727">
      <w:pPr>
        <w:pStyle w:val="NoSpacing"/>
        <w:rPr>
          <w:rFonts w:ascii="Arial" w:hAnsi="Arial" w:cs="Arial"/>
        </w:rPr>
      </w:pPr>
    </w:p>
    <w:p w14:paraId="3873BA06" w14:textId="77777777" w:rsidR="00227727" w:rsidRPr="00227727" w:rsidRDefault="00227727" w:rsidP="00227727">
      <w:pPr>
        <w:pStyle w:val="NoSpacing"/>
        <w:rPr>
          <w:rFonts w:ascii="Arial" w:hAnsi="Arial" w:cs="Arial"/>
        </w:rPr>
      </w:pPr>
    </w:p>
    <w:p w14:paraId="4AB437DE" w14:textId="77777777" w:rsidR="00227727" w:rsidRPr="00227727" w:rsidRDefault="00227727" w:rsidP="00227727">
      <w:pPr>
        <w:pStyle w:val="NoSpacing"/>
        <w:rPr>
          <w:rFonts w:ascii="Arial" w:hAnsi="Arial" w:cs="Arial"/>
        </w:rPr>
      </w:pPr>
    </w:p>
    <w:p w14:paraId="7ED0289F" w14:textId="77777777" w:rsidR="00227727" w:rsidRPr="00227727" w:rsidRDefault="00227727" w:rsidP="00227727">
      <w:pPr>
        <w:pStyle w:val="NoSpacing"/>
        <w:rPr>
          <w:rFonts w:ascii="Arial" w:hAnsi="Arial" w:cs="Arial"/>
        </w:rPr>
      </w:pPr>
    </w:p>
    <w:p w14:paraId="12B347F6" w14:textId="77777777" w:rsidR="00227727" w:rsidRPr="00227727" w:rsidRDefault="00227727" w:rsidP="00227727">
      <w:pPr>
        <w:pStyle w:val="NoSpacing"/>
        <w:rPr>
          <w:rFonts w:ascii="Arial" w:hAnsi="Arial" w:cs="Arial"/>
        </w:rPr>
      </w:pPr>
    </w:p>
    <w:p w14:paraId="4384594A" w14:textId="77777777" w:rsidR="00227727" w:rsidRPr="00227727" w:rsidRDefault="00227727" w:rsidP="00227727">
      <w:pPr>
        <w:pStyle w:val="Heading2"/>
        <w:rPr>
          <w:rFonts w:ascii="Arial" w:hAnsi="Arial" w:cs="Arial"/>
        </w:rPr>
      </w:pPr>
      <w:bookmarkStart w:id="12" w:name="_Toc197072219"/>
      <w:r w:rsidRPr="00227727">
        <w:rPr>
          <w:rFonts w:ascii="Arial" w:hAnsi="Arial" w:cs="Arial"/>
        </w:rPr>
        <w:lastRenderedPageBreak/>
        <w:t>METHODOLOGY</w:t>
      </w:r>
      <w:bookmarkEnd w:id="12"/>
    </w:p>
    <w:p w14:paraId="47623BD5" w14:textId="1093E7E9"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This chapter entails a detailed overview of the methodology adopted within the research study for the collection and analysis of data. A positivist approach is considered within the study portraying a social and objective reality. The research philosophy forms the main foundation for the study, paving direction for further data collection techniques to be implemented. This </w:t>
      </w:r>
      <w:r w:rsidR="00351EFC" w:rsidRPr="00227727">
        <w:rPr>
          <w:rFonts w:ascii="Arial" w:hAnsi="Arial" w:cs="Arial"/>
          <w:sz w:val="24"/>
          <w:szCs w:val="24"/>
        </w:rPr>
        <w:t>approach,</w:t>
      </w:r>
      <w:r w:rsidRPr="00227727">
        <w:rPr>
          <w:rFonts w:ascii="Arial" w:hAnsi="Arial" w:cs="Arial"/>
          <w:sz w:val="24"/>
          <w:szCs w:val="24"/>
        </w:rPr>
        <w:t xml:space="preserve"> therefore, assumes that future prediction can be made based on past and present events formed by functional relations. It can also be called as to using the forecasting approach, since the proposed study is inclined towards collecting quantitative data, usually used in the strategy of exploration </w:t>
      </w:r>
      <w:sdt>
        <w:sdtPr>
          <w:rPr>
            <w:rFonts w:ascii="Arial" w:hAnsi="Arial" w:cs="Arial"/>
            <w:sz w:val="24"/>
            <w:szCs w:val="24"/>
          </w:rPr>
          <w:id w:val="1310140415"/>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Mel18 \l 1033 </w:instrText>
          </w:r>
          <w:r w:rsidRPr="00227727">
            <w:rPr>
              <w:rFonts w:ascii="Arial" w:hAnsi="Arial" w:cs="Arial"/>
              <w:sz w:val="24"/>
              <w:szCs w:val="24"/>
            </w:rPr>
            <w:fldChar w:fldCharType="separate"/>
          </w:r>
          <w:r w:rsidRPr="00227727">
            <w:rPr>
              <w:rFonts w:ascii="Arial" w:hAnsi="Arial" w:cs="Arial"/>
              <w:noProof/>
              <w:sz w:val="24"/>
              <w:szCs w:val="24"/>
            </w:rPr>
            <w:t>(Melnikovas, 2018)</w:t>
          </w:r>
          <w:r w:rsidRPr="00227727">
            <w:rPr>
              <w:rFonts w:ascii="Arial" w:hAnsi="Arial" w:cs="Arial"/>
              <w:sz w:val="24"/>
              <w:szCs w:val="24"/>
            </w:rPr>
            <w:fldChar w:fldCharType="end"/>
          </w:r>
        </w:sdtContent>
      </w:sdt>
      <w:r w:rsidRPr="00227727">
        <w:rPr>
          <w:rFonts w:ascii="Arial" w:hAnsi="Arial" w:cs="Arial"/>
          <w:sz w:val="24"/>
          <w:szCs w:val="24"/>
        </w:rPr>
        <w:t xml:space="preserve">.  </w:t>
      </w:r>
    </w:p>
    <w:p w14:paraId="1E9E2CF4" w14:textId="1B85DB8C" w:rsidR="00227727" w:rsidRPr="00227727" w:rsidRDefault="00351EFC" w:rsidP="00227727">
      <w:pPr>
        <w:spacing w:after="0" w:line="360" w:lineRule="auto"/>
        <w:ind w:firstLine="720"/>
        <w:jc w:val="both"/>
        <w:rPr>
          <w:rFonts w:ascii="Arial" w:hAnsi="Arial" w:cs="Arial"/>
          <w:sz w:val="24"/>
          <w:szCs w:val="24"/>
        </w:rPr>
      </w:pPr>
      <w:r w:rsidRPr="00227727">
        <w:rPr>
          <w:rFonts w:ascii="Arial" w:hAnsi="Arial" w:cs="Arial"/>
          <w:sz w:val="24"/>
          <w:szCs w:val="24"/>
        </w:rPr>
        <w:t>In regard to</w:t>
      </w:r>
      <w:r w:rsidR="00227727" w:rsidRPr="00227727">
        <w:rPr>
          <w:rFonts w:ascii="Arial" w:hAnsi="Arial" w:cs="Arial"/>
          <w:sz w:val="24"/>
          <w:szCs w:val="24"/>
        </w:rPr>
        <w:t xml:space="preserve"> theory development, a deductive approach is utilised which based on general observations, associates findings towards specific use cases </w:t>
      </w:r>
      <w:sdt>
        <w:sdtPr>
          <w:rPr>
            <w:rFonts w:ascii="Arial" w:hAnsi="Arial" w:cs="Arial"/>
            <w:sz w:val="24"/>
            <w:szCs w:val="24"/>
          </w:rPr>
          <w:id w:val="1710688031"/>
          <w:citation/>
        </w:sdtPr>
        <w:sdtContent>
          <w:r w:rsidR="00227727" w:rsidRPr="00227727">
            <w:rPr>
              <w:rFonts w:ascii="Arial" w:hAnsi="Arial" w:cs="Arial"/>
              <w:sz w:val="24"/>
              <w:szCs w:val="24"/>
            </w:rPr>
            <w:fldChar w:fldCharType="begin"/>
          </w:r>
          <w:r w:rsidR="00227727" w:rsidRPr="00227727">
            <w:rPr>
              <w:rFonts w:ascii="Arial" w:hAnsi="Arial" w:cs="Arial"/>
              <w:sz w:val="24"/>
              <w:szCs w:val="24"/>
            </w:rPr>
            <w:instrText xml:space="preserve"> CITATION Rey04 \l 1033 </w:instrText>
          </w:r>
          <w:r w:rsidR="00227727" w:rsidRPr="00227727">
            <w:rPr>
              <w:rFonts w:ascii="Arial" w:hAnsi="Arial" w:cs="Arial"/>
              <w:sz w:val="24"/>
              <w:szCs w:val="24"/>
            </w:rPr>
            <w:fldChar w:fldCharType="separate"/>
          </w:r>
          <w:r w:rsidR="00227727" w:rsidRPr="00227727">
            <w:rPr>
              <w:rFonts w:ascii="Arial" w:hAnsi="Arial" w:cs="Arial"/>
              <w:noProof/>
              <w:sz w:val="24"/>
              <w:szCs w:val="24"/>
            </w:rPr>
            <w:t>(Reyes, 2004)</w:t>
          </w:r>
          <w:r w:rsidR="00227727" w:rsidRPr="00227727">
            <w:rPr>
              <w:rFonts w:ascii="Arial" w:hAnsi="Arial" w:cs="Arial"/>
              <w:sz w:val="24"/>
              <w:szCs w:val="24"/>
            </w:rPr>
            <w:fldChar w:fldCharType="end"/>
          </w:r>
        </w:sdtContent>
      </w:sdt>
      <w:r w:rsidR="00227727" w:rsidRPr="00227727">
        <w:rPr>
          <w:rFonts w:ascii="Arial" w:hAnsi="Arial" w:cs="Arial"/>
          <w:sz w:val="24"/>
          <w:szCs w:val="24"/>
        </w:rPr>
        <w:t xml:space="preserve">. The study also progresses from founding the research over theoretical concepts leading towards carrying out an empirical survey i.e. from general to specific, in order to deduce the findings. Specific hypotheses have already been developed within the study which will be tested within a selected sample through the collection of quantitative data. Moreover, smarter working is generally a new concept within the industry gradually being implemented throughout the world as a result of the boost provided by the Coronavirus pandemic </w:t>
      </w:r>
      <w:sdt>
        <w:sdtPr>
          <w:rPr>
            <w:rFonts w:ascii="Arial" w:hAnsi="Arial" w:cs="Arial"/>
            <w:sz w:val="24"/>
            <w:szCs w:val="24"/>
          </w:rPr>
          <w:id w:val="109942762"/>
          <w:citation/>
        </w:sdtPr>
        <w:sdtContent>
          <w:r w:rsidR="00227727" w:rsidRPr="00227727">
            <w:rPr>
              <w:rFonts w:ascii="Arial" w:hAnsi="Arial" w:cs="Arial"/>
              <w:sz w:val="24"/>
              <w:szCs w:val="24"/>
            </w:rPr>
            <w:fldChar w:fldCharType="begin"/>
          </w:r>
          <w:r w:rsidR="00227727" w:rsidRPr="00227727">
            <w:rPr>
              <w:rFonts w:ascii="Arial" w:hAnsi="Arial" w:cs="Arial"/>
              <w:sz w:val="24"/>
              <w:szCs w:val="24"/>
            </w:rPr>
            <w:instrText xml:space="preserve"> CITATION Cha191 \l 1033 </w:instrText>
          </w:r>
          <w:r w:rsidR="00227727" w:rsidRPr="00227727">
            <w:rPr>
              <w:rFonts w:ascii="Arial" w:hAnsi="Arial" w:cs="Arial"/>
              <w:sz w:val="24"/>
              <w:szCs w:val="24"/>
            </w:rPr>
            <w:fldChar w:fldCharType="separate"/>
          </w:r>
          <w:r w:rsidR="00227727" w:rsidRPr="00227727">
            <w:rPr>
              <w:rFonts w:ascii="Arial" w:hAnsi="Arial" w:cs="Arial"/>
              <w:noProof/>
              <w:sz w:val="24"/>
              <w:szCs w:val="24"/>
            </w:rPr>
            <w:t>(Charalampous, Grant, Tramontano, &amp; Michailidis, 2019)</w:t>
          </w:r>
          <w:r w:rsidR="00227727" w:rsidRPr="00227727">
            <w:rPr>
              <w:rFonts w:ascii="Arial" w:hAnsi="Arial" w:cs="Arial"/>
              <w:sz w:val="24"/>
              <w:szCs w:val="24"/>
            </w:rPr>
            <w:fldChar w:fldCharType="end"/>
          </w:r>
        </w:sdtContent>
      </w:sdt>
      <w:r w:rsidR="00227727" w:rsidRPr="00227727">
        <w:rPr>
          <w:rFonts w:ascii="Arial" w:hAnsi="Arial" w:cs="Arial"/>
          <w:sz w:val="24"/>
          <w:szCs w:val="24"/>
        </w:rPr>
        <w:t xml:space="preserve">. </w:t>
      </w:r>
    </w:p>
    <w:p w14:paraId="352F4690"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The study focuses on employees from Network Rail and Transport for London (TfL), targeting central staff responsible for support services such as HR, Finance, and Marketing. A purposive sampling technique is applied to ensure that the respondents possess relevant knowledge and experience to provide meaningful insights. The survey questionnaire is designed using validated scales from previous studies, adapted to the context of smarter working and public sector challenges.</w:t>
      </w:r>
    </w:p>
    <w:p w14:paraId="71B2C572" w14:textId="77777777" w:rsidR="00227727" w:rsidRPr="00227727" w:rsidRDefault="00227727" w:rsidP="00227727">
      <w:pPr>
        <w:pStyle w:val="Heading3"/>
        <w:rPr>
          <w:rFonts w:ascii="Arial" w:hAnsi="Arial" w:cs="Arial"/>
        </w:rPr>
      </w:pPr>
      <w:r w:rsidRPr="00227727">
        <w:rPr>
          <w:rFonts w:ascii="Arial" w:hAnsi="Arial" w:cs="Arial"/>
        </w:rPr>
        <w:t>Research Philosophy</w:t>
      </w:r>
    </w:p>
    <w:p w14:paraId="724D9D06" w14:textId="77777777" w:rsidR="00227727" w:rsidRPr="00227727" w:rsidRDefault="00227727" w:rsidP="00227727">
      <w:pPr>
        <w:spacing w:after="0" w:line="360" w:lineRule="auto"/>
        <w:jc w:val="both"/>
        <w:rPr>
          <w:rFonts w:ascii="Arial" w:hAnsi="Arial" w:cs="Arial"/>
          <w:sz w:val="24"/>
          <w:lang w:bidi="ta-IN"/>
        </w:rPr>
      </w:pPr>
      <w:r w:rsidRPr="00227727">
        <w:rPr>
          <w:rFonts w:ascii="Arial" w:hAnsi="Arial" w:cs="Arial"/>
          <w:sz w:val="24"/>
          <w:lang w:bidi="ta-IN"/>
        </w:rPr>
        <w:t>Psychology researchers and writers use sociology, anthropology, and philosophy to contextualize the human self. The approach is widely used in psychology across many research fields. Ontology, epistemology, and technique are essential for research (Seliger, 1989). They must understand how these concepts apply to a quantitative research design (Collis &amp; Hussey, 2003). Failure to understand these foundations might damage the research process and make the conclusions unpalatable to other researchers (Dörnyei, 2007). According to Gray (2013), ontology is the view of people, society, and the world and their relationships. Ontology examines the nature and assumptions of world entities (Bryman &amp; Bell, 2011). Two main ontological theories dominate discussions of social world realities: (a) a single objective reality (Bryman, 2004) and (b) numerous realities coexisting (Bryman, 2007). The first method examines social phenomena objectively, while the second explores social reality through human experiences (Bryman &amp; Bell, 2011).</w:t>
      </w:r>
    </w:p>
    <w:p w14:paraId="268DDDB3" w14:textId="77777777" w:rsidR="00227727" w:rsidRPr="00227727" w:rsidRDefault="00227727" w:rsidP="00227727">
      <w:pPr>
        <w:spacing w:after="0" w:line="360" w:lineRule="auto"/>
        <w:ind w:firstLine="720"/>
        <w:jc w:val="both"/>
        <w:rPr>
          <w:rFonts w:ascii="Arial" w:hAnsi="Arial" w:cs="Arial"/>
          <w:sz w:val="24"/>
          <w:lang w:bidi="ta-IN"/>
        </w:rPr>
      </w:pPr>
      <w:r w:rsidRPr="00227727">
        <w:rPr>
          <w:rFonts w:ascii="Arial" w:hAnsi="Arial" w:cs="Arial"/>
          <w:sz w:val="24"/>
          <w:lang w:bidi="ta-IN"/>
        </w:rPr>
        <w:t>However, epistemology is how scholars define reality. Creswell (2003) suggests asking, "What is the relationship between the researcher and what is being researched?" to identify epistemological assumptions (</w:t>
      </w:r>
      <w:r w:rsidRPr="00227727">
        <w:rPr>
          <w:rFonts w:ascii="Arial" w:hAnsi="Arial" w:cs="Arial"/>
          <w:color w:val="222222"/>
          <w:sz w:val="24"/>
          <w:szCs w:val="20"/>
          <w:shd w:val="clear" w:color="auto" w:fill="FFFFFF"/>
        </w:rPr>
        <w:t>Brown, 2017</w:t>
      </w:r>
      <w:r w:rsidRPr="00227727">
        <w:rPr>
          <w:rFonts w:ascii="Arial" w:hAnsi="Arial" w:cs="Arial"/>
          <w:sz w:val="24"/>
          <w:lang w:bidi="ta-IN"/>
        </w:rPr>
        <w:t xml:space="preserve">). Research that seeks knowledge without imposing personal viewpoints is </w:t>
      </w:r>
      <w:r w:rsidRPr="00227727">
        <w:rPr>
          <w:rFonts w:ascii="Arial" w:hAnsi="Arial" w:cs="Arial"/>
          <w:sz w:val="24"/>
          <w:lang w:bidi="ta-IN"/>
        </w:rPr>
        <w:lastRenderedPageBreak/>
        <w:t xml:space="preserve">positivistic (Ansari et al., 2016; Hollway, 2018). Positivism holds that scientific research uncovers an objective reality independent of human perception. </w:t>
      </w:r>
    </w:p>
    <w:p w14:paraId="2B7EF2DF" w14:textId="77777777" w:rsidR="00227727" w:rsidRPr="00227727" w:rsidRDefault="00227727" w:rsidP="00227727">
      <w:pPr>
        <w:spacing w:after="0" w:line="360" w:lineRule="auto"/>
        <w:ind w:firstLine="720"/>
        <w:jc w:val="both"/>
        <w:rPr>
          <w:rFonts w:ascii="Arial" w:hAnsi="Arial" w:cs="Arial"/>
          <w:sz w:val="24"/>
          <w:lang w:bidi="ta-IN"/>
        </w:rPr>
      </w:pPr>
      <w:r w:rsidRPr="00227727">
        <w:rPr>
          <w:rFonts w:ascii="Arial" w:hAnsi="Arial" w:cs="Arial"/>
          <w:sz w:val="24"/>
          <w:lang w:bidi="ta-IN"/>
        </w:rPr>
        <w:t>Research methodology is essential to any study. Silverman (2016) states that researchers employ techniques to acquire and analyse data. Methodology decides whether the research uses qualitative, quantitative, or mixed-methods approaches. Hughes and Sharrock (1997) stress the necessity of matching research methods to research problems.</w:t>
      </w:r>
    </w:p>
    <w:p w14:paraId="40381C7E" w14:textId="42A64030" w:rsidR="00227727" w:rsidRPr="00227727" w:rsidRDefault="00227727" w:rsidP="00227727">
      <w:pPr>
        <w:pStyle w:val="NormalWeb"/>
        <w:spacing w:before="0" w:beforeAutospacing="0" w:after="0" w:afterAutospacing="0" w:line="360" w:lineRule="auto"/>
        <w:ind w:firstLine="720"/>
        <w:jc w:val="both"/>
        <w:rPr>
          <w:rFonts w:ascii="Arial" w:hAnsi="Arial" w:cs="Arial"/>
          <w:color w:val="0E101A"/>
          <w:lang w:val="en-GB"/>
        </w:rPr>
      </w:pPr>
      <w:r w:rsidRPr="00227727">
        <w:rPr>
          <w:rFonts w:ascii="Arial" w:hAnsi="Arial" w:cs="Arial"/>
          <w:lang w:val="en-GB" w:bidi="ta-IN"/>
        </w:rPr>
        <w:t xml:space="preserve">This study used a quantitative research </w:t>
      </w:r>
      <w:r w:rsidR="00351EFC" w:rsidRPr="00227727">
        <w:rPr>
          <w:rFonts w:ascii="Arial" w:hAnsi="Arial" w:cs="Arial"/>
          <w:lang w:val="en-GB" w:bidi="ta-IN"/>
        </w:rPr>
        <w:t>design,</w:t>
      </w:r>
      <w:r w:rsidRPr="00227727">
        <w:rPr>
          <w:rFonts w:ascii="Arial" w:hAnsi="Arial" w:cs="Arial"/>
          <w:lang w:val="en-GB" w:bidi="ta-IN"/>
        </w:rPr>
        <w:t xml:space="preserve"> so it meets the ontological, epistemological and methodological assumptions in psychological context. </w:t>
      </w:r>
      <w:r w:rsidRPr="00227727">
        <w:rPr>
          <w:rFonts w:ascii="Arial" w:hAnsi="Arial" w:cs="Arial"/>
          <w:color w:val="0E101A"/>
          <w:lang w:val="en-GB"/>
        </w:rPr>
        <w:t xml:space="preserve">The ontological assumption of Work Smarter, Thrive Better is that varied employee experiences and managerial methods shape multiple workplace realities. This concept supports the idea that organisational environments are dynamic and open to interpretation based on individual and collective experiences. For instance, Prus et al. (2017) show how workplace democracy and people's behaviours affect workplace innovation, reflecting the material, social, and cultural aspects of labour. Bohan (2022) also assumes that organisational size and personality qualities influence employees' subjective wellbeing experiences, highlighting the heterogeneity of workplace realities. The study emphasises the practical relationship between employees and their workplace. Based on the </w:t>
      </w:r>
      <w:r w:rsidRPr="00227727">
        <w:rPr>
          <w:rFonts w:ascii="Arial" w:hAnsi="Arial" w:cs="Arial"/>
          <w:i/>
          <w:iCs/>
          <w:color w:val="0E101A"/>
          <w:lang w:val="en-GB"/>
        </w:rPr>
        <w:t>Conservation of Resources (COR) theory</w:t>
      </w:r>
      <w:r w:rsidRPr="00227727">
        <w:rPr>
          <w:rFonts w:ascii="Arial" w:hAnsi="Arial" w:cs="Arial"/>
          <w:color w:val="0E101A"/>
          <w:lang w:val="en-GB"/>
        </w:rPr>
        <w:t>, Buick et al. (2024) examine managerial support for flexible working and how resource dynamics affect wellbeing. Sharafizad and Redmond (2020) used an interpretivist approach that uses semi-structured interviews to understand higher education employees' discretionary effort experiences.</w:t>
      </w:r>
    </w:p>
    <w:p w14:paraId="43A9F28D"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This study uses a quantitative approach to examine how smarter working and HRM practices affect public sector employee wellbeing and job performance in the UK. This matches the research by Martin (2021) on remote working, motivation, and wellbeing, which employs logistic regression and Analysis of Variance (ANOVA). In addition, Gumbie et al. (2023) use theme analysis of interviews with Zimbabwean urban local authority HR practitioners to uncover contextual issues, proving that qualitative methodologies capture complex organisational realities. These methods offer a complete framework for studying workplace dynamics and consequences.</w:t>
      </w:r>
    </w:p>
    <w:p w14:paraId="69CAF0D3" w14:textId="77777777" w:rsidR="00227727" w:rsidRPr="00227727" w:rsidRDefault="00227727" w:rsidP="00227727">
      <w:pPr>
        <w:spacing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The study provides a solid framework for understanding how smarter working techniques affect employee results by synthesising various ontological, epistemological, and methodological approaches. Recognising varied workplace realities supports diverse employee experiences, while pragmatic epistemology provides concrete insights for managerial and policy actions. Doing a quantitative method lets you research workplace dynamics holistically, using their strengths. This methodological rigor is comparable to previous studies that used empirical data and contextual analysis to address similar organisational difficulties. These factors make the study a valuable contribution to understanding how HRM and workplace innovations might improve employee wellbeing and performance across varied settings.</w:t>
      </w:r>
    </w:p>
    <w:p w14:paraId="2985B42F" w14:textId="77777777" w:rsidR="00227727" w:rsidRPr="00227727" w:rsidRDefault="00227727" w:rsidP="00227727">
      <w:pPr>
        <w:pStyle w:val="Heading3"/>
        <w:rPr>
          <w:rFonts w:ascii="Arial" w:hAnsi="Arial" w:cs="Arial"/>
        </w:rPr>
      </w:pPr>
      <w:r w:rsidRPr="00227727">
        <w:rPr>
          <w:rFonts w:ascii="Arial" w:hAnsi="Arial" w:cs="Arial"/>
        </w:rPr>
        <w:lastRenderedPageBreak/>
        <w:t xml:space="preserve">Research Paradigm </w:t>
      </w:r>
    </w:p>
    <w:p w14:paraId="095E2746"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A psycho-social perspective, which integrates psychoanalytic paradigms of subjectivity and acknowledges the social construction and contextualisation of identities, can help identity theory overcome its problematic binaries (</w:t>
      </w:r>
      <w:r w:rsidRPr="00227727">
        <w:rPr>
          <w:rFonts w:ascii="Arial" w:hAnsi="Arial" w:cs="Arial"/>
          <w:color w:val="222222"/>
          <w:sz w:val="24"/>
          <w:szCs w:val="20"/>
          <w:shd w:val="clear" w:color="auto" w:fill="FFFFFF"/>
        </w:rPr>
        <w:t>Al-Ababneh, 2020</w:t>
      </w:r>
      <w:r w:rsidRPr="00227727">
        <w:rPr>
          <w:rFonts w:ascii="Arial" w:hAnsi="Arial" w:cs="Arial"/>
          <w:sz w:val="24"/>
          <w:szCs w:val="24"/>
        </w:rPr>
        <w:t xml:space="preserve">). These include natural-social, universal-particular, and freely chosen-heavily regulated binaries. Collis and Hussey (2003) divided research paradigms into positivistic and phenomenological (interpretivist) types. Collis and Hussey (2003) define a paradigm as </w:t>
      </w:r>
      <w:r w:rsidRPr="00227727">
        <w:rPr>
          <w:rFonts w:ascii="Arial" w:hAnsi="Arial" w:cs="Arial"/>
          <w:i/>
          <w:sz w:val="24"/>
          <w:szCs w:val="24"/>
        </w:rPr>
        <w:t>"the progress of scientific practice based on people’s philosophies and assumptions about the world and the nature of knowledge"</w:t>
      </w:r>
      <w:r w:rsidRPr="00227727">
        <w:rPr>
          <w:rFonts w:ascii="Arial" w:hAnsi="Arial" w:cs="Arial"/>
          <w:sz w:val="24"/>
          <w:szCs w:val="24"/>
        </w:rPr>
        <w:t xml:space="preserve"> (</w:t>
      </w:r>
      <w:r w:rsidRPr="00227727">
        <w:rPr>
          <w:rStyle w:val="Emphasis"/>
          <w:rFonts w:ascii="Arial" w:hAnsi="Arial" w:cs="Arial"/>
          <w:color w:val="0E101A"/>
          <w:sz w:val="24"/>
          <w:szCs w:val="24"/>
        </w:rPr>
        <w:t>p.</w:t>
      </w:r>
      <w:r w:rsidRPr="00227727">
        <w:rPr>
          <w:rFonts w:ascii="Arial" w:hAnsi="Arial" w:cs="Arial"/>
          <w:sz w:val="24"/>
          <w:szCs w:val="24"/>
        </w:rPr>
        <w:t xml:space="preserve"> 46). This implies that beliefs about the world strongly influence research design and methods. As cited in Collis and Hussey (2003), Creswell (1994) defines the positivistic paradigm as quantitative research and the phenomenological paradigm as qualitative research. Collis and Hussey (2003) and </w:t>
      </w:r>
      <w:r w:rsidRPr="00227727">
        <w:rPr>
          <w:rFonts w:ascii="Arial" w:hAnsi="Arial" w:cs="Arial"/>
          <w:color w:val="222222"/>
          <w:sz w:val="24"/>
          <w:szCs w:val="20"/>
          <w:shd w:val="clear" w:color="auto" w:fill="FFFFFF"/>
        </w:rPr>
        <w:t>Al-Ababneh (2020)</w:t>
      </w:r>
      <w:r w:rsidRPr="00227727">
        <w:rPr>
          <w:rFonts w:ascii="Arial" w:hAnsi="Arial" w:cs="Arial"/>
          <w:sz w:val="24"/>
          <w:szCs w:val="24"/>
        </w:rPr>
        <w:t xml:space="preserve"> detail these paradigms' research methodology and method characteristics. Their work shows how these paradigms differ and connect, helping researchers understand how their philosophical views affect inquiry and data collection (see Table 3.1).</w:t>
      </w:r>
    </w:p>
    <w:p w14:paraId="7C1564BE" w14:textId="77777777" w:rsidR="00227727" w:rsidRPr="00227727" w:rsidRDefault="00227727" w:rsidP="00227727">
      <w:pPr>
        <w:pStyle w:val="NormalWeb"/>
        <w:spacing w:before="0" w:beforeAutospacing="0" w:after="0" w:afterAutospacing="0" w:line="360" w:lineRule="auto"/>
        <w:jc w:val="both"/>
        <w:rPr>
          <w:rFonts w:ascii="Arial" w:hAnsi="Arial" w:cs="Arial"/>
          <w:color w:val="0E101A"/>
          <w:lang w:val="en-GB"/>
        </w:rPr>
      </w:pPr>
      <w:r w:rsidRPr="00227727">
        <w:rPr>
          <w:rFonts w:ascii="Arial" w:hAnsi="Arial" w:cs="Arial"/>
          <w:lang w:val="en-GB"/>
        </w:rPr>
        <w:tab/>
        <w:t xml:space="preserve">This study tests the impact of smarter working and HRM on employees’ wellbeing and job performance among public sectors in the UK. The concept is related to the psychology where attitudes and behaviours are measured based on the philosophical assumptions. The study uses a quantitative research design, so a positivist paradigm suits the method best. </w:t>
      </w:r>
      <w:r w:rsidRPr="00227727">
        <w:rPr>
          <w:rFonts w:ascii="Arial" w:hAnsi="Arial" w:cs="Arial"/>
          <w:color w:val="0E101A"/>
          <w:lang w:val="en-GB"/>
        </w:rPr>
        <w:t>According to Sarbin (Narrative Psychology, 1986), positivist approaches dominate psychology, so this study uses one. Positivists focus objectively on measurable variables (Berryman, 2019; Collis &amp; Hussey, 2003). Their main goal is proof and explanation (Hollway, 2018), based on the idea that proper examination and deconstruction can simplify the world (</w:t>
      </w:r>
      <w:r w:rsidRPr="00227727">
        <w:rPr>
          <w:rFonts w:ascii="Arial" w:hAnsi="Arial" w:cs="Arial"/>
          <w:i/>
          <w:iCs/>
          <w:color w:val="0E101A"/>
          <w:lang w:val="en-GB"/>
        </w:rPr>
        <w:t>p.</w:t>
      </w:r>
      <w:r w:rsidRPr="00227727">
        <w:rPr>
          <w:rFonts w:ascii="Arial" w:hAnsi="Arial" w:cs="Arial"/>
          <w:color w:val="0E101A"/>
          <w:lang w:val="en-GB"/>
        </w:rPr>
        <w:t xml:space="preserve"> 14). Positivists also believe that qualitative methods cannot adequately study causal relationships (Berryman, 2019) and prefer generalisable, context-free results (Al-Ababneh, 2020). In contrast, phenomenologists or interpretivists see the world as complex and believe it can be understood through the subjective meanings people assign to social actions in specific contexts (Bryman, 2004) but it is opposed to this research principles. Interacting with the phenomenon being studied reduces the researcher-subject distance (Collis &amp; Hussey, 2003). Positivists value credibility and confirmability with objectivity, validity, and generalisability, which align with their ontological and epistemological views. Interactions create social reality, so positivists study objective realities (</w:t>
      </w:r>
      <w:r w:rsidRPr="00227727">
        <w:rPr>
          <w:rFonts w:ascii="Arial" w:hAnsi="Arial" w:cs="Arial"/>
          <w:lang w:val="en-GB"/>
        </w:rPr>
        <w:t>Crotty, 1998; Kincheloe &amp; Tobin, 2009</w:t>
      </w:r>
      <w:r w:rsidRPr="00227727">
        <w:rPr>
          <w:rFonts w:ascii="Arial" w:hAnsi="Arial" w:cs="Arial"/>
          <w:color w:val="0E101A"/>
          <w:lang w:val="en-GB"/>
        </w:rPr>
        <w:t>).</w:t>
      </w:r>
    </w:p>
    <w:p w14:paraId="5BC6D5B1" w14:textId="77777777" w:rsidR="00227727" w:rsidRPr="00227727" w:rsidRDefault="00227727" w:rsidP="00227727">
      <w:pPr>
        <w:spacing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This study takes a positivist-phenomenological approach, similar to Ansari (2015)'s ontological position. Positivists believe truth is independent of consciousness and can be discovered through observation and experimentation (</w:t>
      </w:r>
      <w:r w:rsidRPr="00227727">
        <w:rPr>
          <w:rFonts w:ascii="Arial" w:hAnsi="Arial" w:cs="Arial"/>
          <w:sz w:val="24"/>
          <w:szCs w:val="24"/>
        </w:rPr>
        <w:t>Guba et al., 2000</w:t>
      </w:r>
      <w:r w:rsidRPr="00227727">
        <w:rPr>
          <w:rFonts w:ascii="Arial" w:eastAsia="Times New Roman" w:hAnsi="Arial" w:cs="Arial"/>
          <w:color w:val="0E101A"/>
          <w:sz w:val="24"/>
          <w:szCs w:val="24"/>
        </w:rPr>
        <w:t xml:space="preserve">). Their research questions test construct relationships using quantitative methods like randomised controlled trials and surveys to generate numerical data and test hypotheses (Berryman, 2019). Positivist methods use statistical analysis and reliability and validity standards to maintain objectivity and independence from the phenomena being studied. Positivists aim to produce generalisable results like physical and natural sciences (Saunders et al., 2009). This approach emphasises scientific discovery and technological advancement as </w:t>
      </w:r>
      <w:r w:rsidRPr="00227727">
        <w:rPr>
          <w:rFonts w:ascii="Arial" w:eastAsia="Times New Roman" w:hAnsi="Arial" w:cs="Arial"/>
          <w:color w:val="0E101A"/>
          <w:sz w:val="24"/>
          <w:szCs w:val="24"/>
        </w:rPr>
        <w:lastRenderedPageBreak/>
        <w:t>progress drivers, highlighting scientific knowledge accuracy and certainty. Positivism claims that objects and phenomena have meaning independent of consciousness or perception (Berryman, 2019). This view shows confidence in science to discover universal truths and advance knowledge.</w:t>
      </w:r>
    </w:p>
    <w:p w14:paraId="7600CD20"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3.1.</w:t>
      </w:r>
      <w:r w:rsidRPr="00227727">
        <w:rPr>
          <w:rFonts w:ascii="Arial" w:hAnsi="Arial" w:cs="Arial"/>
          <w:sz w:val="24"/>
          <w:szCs w:val="24"/>
          <w:lang w:bidi="ta-IN"/>
        </w:rPr>
        <w:t xml:space="preserve"> Philosophical assumptions with research paradigms</w:t>
      </w:r>
    </w:p>
    <w:tbl>
      <w:tblPr>
        <w:tblStyle w:val="ListTable6Colourfu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669"/>
        <w:gridCol w:w="2233"/>
        <w:gridCol w:w="2268"/>
        <w:gridCol w:w="2518"/>
        <w:gridCol w:w="2068"/>
      </w:tblGrid>
      <w:tr w:rsidR="00227727" w:rsidRPr="00227727" w14:paraId="437F3D79" w14:textId="77777777" w:rsidTr="00227727">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hideMark/>
          </w:tcPr>
          <w:p w14:paraId="17CA3F10"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Concept</w:t>
            </w:r>
          </w:p>
        </w:tc>
        <w:tc>
          <w:tcPr>
            <w:tcW w:w="0" w:type="auto"/>
            <w:tcBorders>
              <w:bottom w:val="none" w:sz="0" w:space="0" w:color="auto"/>
            </w:tcBorders>
            <w:hideMark/>
          </w:tcPr>
          <w:p w14:paraId="44E1F4A5"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Positivism</w:t>
            </w:r>
          </w:p>
        </w:tc>
        <w:tc>
          <w:tcPr>
            <w:tcW w:w="0" w:type="auto"/>
            <w:tcBorders>
              <w:bottom w:val="none" w:sz="0" w:space="0" w:color="auto"/>
            </w:tcBorders>
            <w:hideMark/>
          </w:tcPr>
          <w:p w14:paraId="2B7341BF"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Interpretivism</w:t>
            </w:r>
          </w:p>
        </w:tc>
        <w:tc>
          <w:tcPr>
            <w:tcW w:w="0" w:type="auto"/>
            <w:tcBorders>
              <w:bottom w:val="none" w:sz="0" w:space="0" w:color="auto"/>
            </w:tcBorders>
            <w:hideMark/>
          </w:tcPr>
          <w:p w14:paraId="7FAE1420"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Realism</w:t>
            </w:r>
          </w:p>
        </w:tc>
        <w:tc>
          <w:tcPr>
            <w:tcW w:w="0" w:type="auto"/>
            <w:tcBorders>
              <w:bottom w:val="none" w:sz="0" w:space="0" w:color="auto"/>
            </w:tcBorders>
            <w:hideMark/>
          </w:tcPr>
          <w:p w14:paraId="5447045D"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Pragmatism</w:t>
            </w:r>
          </w:p>
        </w:tc>
      </w:tr>
      <w:tr w:rsidR="00227727" w:rsidRPr="00227727" w14:paraId="36BB04DC" w14:textId="77777777" w:rsidTr="00227727">
        <w:tc>
          <w:tcPr>
            <w:tcW w:w="0" w:type="auto"/>
            <w:hideMark/>
          </w:tcPr>
          <w:p w14:paraId="0366350F"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b/>
                <w:bCs/>
                <w:sz w:val="22"/>
                <w:szCs w:val="24"/>
              </w:rPr>
              <w:t>Ontology</w:t>
            </w:r>
          </w:p>
        </w:tc>
        <w:tc>
          <w:tcPr>
            <w:tcW w:w="0" w:type="auto"/>
            <w:hideMark/>
          </w:tcPr>
          <w:p w14:paraId="030E3BB9"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External, objective, and independent of social actors.</w:t>
            </w:r>
          </w:p>
        </w:tc>
        <w:tc>
          <w:tcPr>
            <w:tcW w:w="0" w:type="auto"/>
            <w:hideMark/>
          </w:tcPr>
          <w:p w14:paraId="5415CF52"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Socially constructed, subjective, dynamic, and encompassing multiple realities.</w:t>
            </w:r>
          </w:p>
        </w:tc>
        <w:tc>
          <w:tcPr>
            <w:tcW w:w="0" w:type="auto"/>
            <w:hideMark/>
          </w:tcPr>
          <w:p w14:paraId="63BF4F96"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Exists independently of human thoughts and beliefs (realist); interpreted through social influences (critical realist).</w:t>
            </w:r>
          </w:p>
        </w:tc>
        <w:tc>
          <w:tcPr>
            <w:tcW w:w="0" w:type="auto"/>
            <w:hideMark/>
          </w:tcPr>
          <w:p w14:paraId="3D5D1352"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Reality is both external and socially influenced, integrating perspectives to align with research goals.</w:t>
            </w:r>
          </w:p>
        </w:tc>
      </w:tr>
      <w:tr w:rsidR="00227727" w:rsidRPr="00227727" w14:paraId="49211613" w14:textId="77777777" w:rsidTr="00227727">
        <w:tc>
          <w:tcPr>
            <w:tcW w:w="0" w:type="auto"/>
            <w:hideMark/>
          </w:tcPr>
          <w:p w14:paraId="3FB63E1E"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b/>
                <w:bCs/>
                <w:sz w:val="22"/>
                <w:szCs w:val="24"/>
              </w:rPr>
              <w:t>Epistemology</w:t>
            </w:r>
          </w:p>
        </w:tc>
        <w:tc>
          <w:tcPr>
            <w:tcW w:w="0" w:type="auto"/>
            <w:hideMark/>
          </w:tcPr>
          <w:p w14:paraId="4D79E8B4"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Credible data comes only from observable phenomena. Focus on causality and generalisation.</w:t>
            </w:r>
          </w:p>
        </w:tc>
        <w:tc>
          <w:tcPr>
            <w:tcW w:w="0" w:type="auto"/>
            <w:hideMark/>
          </w:tcPr>
          <w:p w14:paraId="58E11921"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Knowledge stems from subjective meanings and social contexts. Emphasis on understanding complex situations.</w:t>
            </w:r>
          </w:p>
        </w:tc>
        <w:tc>
          <w:tcPr>
            <w:tcW w:w="0" w:type="auto"/>
            <w:hideMark/>
          </w:tcPr>
          <w:p w14:paraId="4E8DFBBA"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Observable phenomena provide credible knowledge, but critical realism acknowledges misinterpretation due to insufficient data.</w:t>
            </w:r>
          </w:p>
        </w:tc>
        <w:tc>
          <w:tcPr>
            <w:tcW w:w="0" w:type="auto"/>
            <w:hideMark/>
          </w:tcPr>
          <w:p w14:paraId="37FEE843"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Both observable data and subjective meanings provide valuable insights, depending on the research question.</w:t>
            </w:r>
          </w:p>
        </w:tc>
      </w:tr>
      <w:tr w:rsidR="00227727" w:rsidRPr="00227727" w14:paraId="0AF24B40" w14:textId="77777777" w:rsidTr="00227727">
        <w:tc>
          <w:tcPr>
            <w:tcW w:w="0" w:type="auto"/>
            <w:hideMark/>
          </w:tcPr>
          <w:p w14:paraId="1558B889"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b/>
                <w:bCs/>
                <w:sz w:val="22"/>
                <w:szCs w:val="24"/>
              </w:rPr>
              <w:t>Axiology</w:t>
            </w:r>
          </w:p>
        </w:tc>
        <w:tc>
          <w:tcPr>
            <w:tcW w:w="0" w:type="auto"/>
            <w:hideMark/>
          </w:tcPr>
          <w:p w14:paraId="07AC2D40"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Research is conducted in a value-free manner, with researchers maintaining objectivity.</w:t>
            </w:r>
          </w:p>
        </w:tc>
        <w:tc>
          <w:tcPr>
            <w:tcW w:w="0" w:type="auto"/>
            <w:hideMark/>
          </w:tcPr>
          <w:p w14:paraId="73509CAE"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Research is value-laden, with researchers embedded in the research, influencing the results.</w:t>
            </w:r>
          </w:p>
        </w:tc>
        <w:tc>
          <w:tcPr>
            <w:tcW w:w="0" w:type="auto"/>
            <w:hideMark/>
          </w:tcPr>
          <w:p w14:paraId="7697B465"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Research is inherently influenced by researchers' worldviews, cultural background, and biases.</w:t>
            </w:r>
          </w:p>
        </w:tc>
        <w:tc>
          <w:tcPr>
            <w:tcW w:w="0" w:type="auto"/>
            <w:hideMark/>
          </w:tcPr>
          <w:p w14:paraId="34F08A31"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Values are integral to interpreting results, blending objectivity and subjectivity as needed.</w:t>
            </w:r>
          </w:p>
        </w:tc>
      </w:tr>
      <w:tr w:rsidR="00227727" w:rsidRPr="00227727" w14:paraId="6C9261F6" w14:textId="77777777" w:rsidTr="00227727">
        <w:tc>
          <w:tcPr>
            <w:tcW w:w="0" w:type="auto"/>
            <w:hideMark/>
          </w:tcPr>
          <w:p w14:paraId="0C3D9ABD"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b/>
                <w:bCs/>
                <w:sz w:val="22"/>
                <w:szCs w:val="24"/>
              </w:rPr>
              <w:t>Data Collection</w:t>
            </w:r>
          </w:p>
        </w:tc>
        <w:tc>
          <w:tcPr>
            <w:tcW w:w="0" w:type="auto"/>
            <w:hideMark/>
          </w:tcPr>
          <w:p w14:paraId="3265F8E3"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Highly structured methods, large samples, and quantitative approaches; qualitative methods may also be used.</w:t>
            </w:r>
          </w:p>
        </w:tc>
        <w:tc>
          <w:tcPr>
            <w:tcW w:w="0" w:type="auto"/>
            <w:hideMark/>
          </w:tcPr>
          <w:p w14:paraId="0D09E719"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Small samples, in-depth investigations, and qualitative methods are emphasized.</w:t>
            </w:r>
          </w:p>
        </w:tc>
        <w:tc>
          <w:tcPr>
            <w:tcW w:w="0" w:type="auto"/>
            <w:hideMark/>
          </w:tcPr>
          <w:p w14:paraId="4FF35A43"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Methods must align with the research topic, and both qualitative and quantitative approaches are accepted.</w:t>
            </w:r>
          </w:p>
        </w:tc>
        <w:tc>
          <w:tcPr>
            <w:tcW w:w="0" w:type="auto"/>
            <w:hideMark/>
          </w:tcPr>
          <w:p w14:paraId="45DA8E50" w14:textId="77777777" w:rsidR="00227727" w:rsidRPr="00227727" w:rsidRDefault="00227727" w:rsidP="00E772F3">
            <w:pPr>
              <w:spacing w:line="360" w:lineRule="auto"/>
              <w:rPr>
                <w:rFonts w:ascii="Arial" w:eastAsia="Times New Roman" w:hAnsi="Arial" w:cs="Arial"/>
                <w:sz w:val="22"/>
                <w:szCs w:val="24"/>
              </w:rPr>
            </w:pPr>
            <w:r w:rsidRPr="00227727">
              <w:rPr>
                <w:rFonts w:ascii="Arial" w:eastAsia="Times New Roman" w:hAnsi="Arial" w:cs="Arial"/>
                <w:sz w:val="22"/>
                <w:szCs w:val="24"/>
              </w:rPr>
              <w:t>Mixed-method designs, integrating both quantitative and qualitative techniques, are commonly employed.</w:t>
            </w:r>
          </w:p>
        </w:tc>
      </w:tr>
    </w:tbl>
    <w:p w14:paraId="46C4FE79" w14:textId="77777777" w:rsidR="00227727" w:rsidRPr="00227727" w:rsidRDefault="00227727" w:rsidP="00227727">
      <w:pPr>
        <w:spacing w:line="360" w:lineRule="auto"/>
        <w:jc w:val="both"/>
        <w:rPr>
          <w:rFonts w:ascii="Arial" w:hAnsi="Arial" w:cs="Arial"/>
          <w:sz w:val="24"/>
          <w:szCs w:val="24"/>
          <w:lang w:bidi="ta-IN"/>
        </w:rPr>
      </w:pPr>
    </w:p>
    <w:p w14:paraId="0E633536"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A positivist approach is well suited to answering the outlined research questions because it uses measurable data and objective analysis to uncover relationships and test hypotheses, resulting in reliable and generalisable findings. For example, when investigating how smarter working influences employees' job performance (RQ1), a positivist framework allows for the quantification of variables such as performance metrics and workplace practices, allowing causality to be assessed using </w:t>
      </w:r>
      <w:r w:rsidRPr="00227727">
        <w:rPr>
          <w:rFonts w:ascii="Arial" w:hAnsi="Arial" w:cs="Arial"/>
          <w:sz w:val="24"/>
          <w:szCs w:val="24"/>
          <w:lang w:bidi="ta-IN"/>
        </w:rPr>
        <w:lastRenderedPageBreak/>
        <w:t>statistical techniques such as regression analysis (Martin, 2021; Saunders et al., 2009). This approach is consistent with previous research, such as Bohan (2022) investigated remote work and employee wellbeing and used quantitative method to establish clear links between organisational practices and outcomes. The positivist approach, which focuses on observable phenomena and measurable outcomes, provides strong evidence to support or refute claims, ensuring that the findings are grounded in empirical reality (Crotty, 1998; Al-Ababneh, 2020).</w:t>
      </w:r>
    </w:p>
    <w:p w14:paraId="0EFD1683"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The positivist paradigm also serves as a solid foundation for addressing more complex relationships, such as how employees' wellbeing mediates the impact of smarter working on job performance (RQ3) or how HRM practices moderate the relationship between smarter working and employee wellbeing (RQ4). This approach makes quantifying indirect effects and contextual influences easier using advanced statistical methods (Prus et al., 2017; Saunders et al., 2009) like mediation and moderation analyses. Using this structured methodology, the study can investigate dual impacts (for example, job satisfaction and stress) with greater precision, similar to Sharafizad and Redmond's (2020) qualitative and quantitative insights into discretionary effort. Furthermore, the emphasis on causality in positivist methods ensures that the findings can inform actionable strategies for public organisations, reflecting the practical application focus of studies such as Martin (2021) and Prus et al. (2017). Overall, the positivist approach allows for systematically investigating research questions while producing credible, generalisable findings that can contribute to academic and practical advancements.</w:t>
      </w:r>
    </w:p>
    <w:p w14:paraId="1E55546B" w14:textId="77777777" w:rsidR="00227727" w:rsidRPr="00227727" w:rsidRDefault="00227727" w:rsidP="00227727">
      <w:pPr>
        <w:pStyle w:val="Heading3"/>
        <w:rPr>
          <w:rFonts w:ascii="Arial" w:hAnsi="Arial" w:cs="Arial"/>
        </w:rPr>
      </w:pPr>
      <w:r w:rsidRPr="00227727">
        <w:rPr>
          <w:rFonts w:ascii="Arial" w:hAnsi="Arial" w:cs="Arial"/>
        </w:rPr>
        <w:t>Research Design</w:t>
      </w:r>
    </w:p>
    <w:p w14:paraId="4A944285"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Research design is a plan, framework, and strategy to answer research questions and control variance (Bhatt, 2020). The research framework includes hypotheses, operational implications, and data analysis strategies. The structure of the design determines how variables interact in the study. Cross-sectional studies can compare population groups at one time, like a snapshot. Data from this temporal "frame" yields insights. Exploratory and descriptive research often uses survey strategies to collect and analyse quantitative data using descriptive and inferential statistical methods (Saunders et al., 2009).</w:t>
      </w:r>
    </w:p>
    <w:p w14:paraId="34C8C441" w14:textId="3DFD46A1"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With a positivism research paradigm, the study uses a quantitative research design with a cross-sectional survey approach. The main research strategy adopted within the study is quantitative in nature since the research needs to account actual empirical observations of the sample in order to conclude effective answers for the research objectives proposed. It is also termed as a quasi-experimental study, based on mono-method quantitative, examining the </w:t>
      </w:r>
      <w:r w:rsidR="00351EFC" w:rsidRPr="00227727">
        <w:rPr>
          <w:rFonts w:ascii="Arial" w:hAnsi="Arial" w:cs="Arial"/>
          <w:sz w:val="24"/>
          <w:szCs w:val="24"/>
        </w:rPr>
        <w:t>cause-and-effect</w:t>
      </w:r>
      <w:r w:rsidRPr="00227727">
        <w:rPr>
          <w:rFonts w:ascii="Arial" w:hAnsi="Arial" w:cs="Arial"/>
          <w:sz w:val="24"/>
          <w:szCs w:val="24"/>
        </w:rPr>
        <w:t xml:space="preserve"> relationship between the independent and dependent variables considered within the study </w:t>
      </w:r>
      <w:sdt>
        <w:sdtPr>
          <w:rPr>
            <w:rFonts w:ascii="Arial" w:hAnsi="Arial" w:cs="Arial"/>
            <w:sz w:val="24"/>
            <w:szCs w:val="24"/>
          </w:rPr>
          <w:id w:val="582115053"/>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Mel18 \l 1033 </w:instrText>
          </w:r>
          <w:r w:rsidRPr="00227727">
            <w:rPr>
              <w:rFonts w:ascii="Arial" w:hAnsi="Arial" w:cs="Arial"/>
              <w:sz w:val="24"/>
              <w:szCs w:val="24"/>
            </w:rPr>
            <w:fldChar w:fldCharType="separate"/>
          </w:r>
          <w:r w:rsidRPr="00227727">
            <w:rPr>
              <w:rFonts w:ascii="Arial" w:hAnsi="Arial" w:cs="Arial"/>
              <w:noProof/>
              <w:sz w:val="24"/>
              <w:szCs w:val="24"/>
            </w:rPr>
            <w:t>(Melnikovas, 2018)</w:t>
          </w:r>
          <w:r w:rsidRPr="00227727">
            <w:rPr>
              <w:rFonts w:ascii="Arial" w:hAnsi="Arial" w:cs="Arial"/>
              <w:sz w:val="24"/>
              <w:szCs w:val="24"/>
            </w:rPr>
            <w:fldChar w:fldCharType="end"/>
          </w:r>
        </w:sdtContent>
      </w:sdt>
      <w:r w:rsidRPr="00227727">
        <w:rPr>
          <w:rFonts w:ascii="Arial" w:hAnsi="Arial" w:cs="Arial"/>
          <w:sz w:val="24"/>
          <w:szCs w:val="24"/>
        </w:rPr>
        <w:t xml:space="preserve">. Using a quantitative method ensures that a larger population can easily be accessed without consuming a lot of essential time within the process. The analysis requires software such as SPSS and Smart PLS 4, which help to conclude results that can then be applied over a larger part of the population due to a large sample size. Furthermore, numbers, facts and figures, provide a stronger and effective representation of the data since it is without any interpretation bias from the side of the researcher, thus enabling the study to include reduced error </w:t>
      </w:r>
      <w:sdt>
        <w:sdtPr>
          <w:rPr>
            <w:rFonts w:ascii="Arial" w:hAnsi="Arial" w:cs="Arial"/>
            <w:sz w:val="24"/>
            <w:szCs w:val="24"/>
          </w:rPr>
          <w:id w:val="1016504984"/>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Rah201 \l 1033 </w:instrText>
          </w:r>
          <w:r w:rsidRPr="00227727">
            <w:rPr>
              <w:rFonts w:ascii="Arial" w:hAnsi="Arial" w:cs="Arial"/>
              <w:sz w:val="24"/>
              <w:szCs w:val="24"/>
            </w:rPr>
            <w:fldChar w:fldCharType="separate"/>
          </w:r>
          <w:r w:rsidRPr="00227727">
            <w:rPr>
              <w:rFonts w:ascii="Arial" w:hAnsi="Arial" w:cs="Arial"/>
              <w:noProof/>
              <w:sz w:val="24"/>
              <w:szCs w:val="24"/>
            </w:rPr>
            <w:t>(Rahman, 2020)</w:t>
          </w:r>
          <w:r w:rsidRPr="00227727">
            <w:rPr>
              <w:rFonts w:ascii="Arial" w:hAnsi="Arial" w:cs="Arial"/>
              <w:sz w:val="24"/>
              <w:szCs w:val="24"/>
            </w:rPr>
            <w:fldChar w:fldCharType="end"/>
          </w:r>
        </w:sdtContent>
      </w:sdt>
      <w:r w:rsidRPr="00227727">
        <w:rPr>
          <w:rFonts w:ascii="Arial" w:hAnsi="Arial" w:cs="Arial"/>
          <w:sz w:val="24"/>
          <w:szCs w:val="24"/>
        </w:rPr>
        <w:t xml:space="preserve">. </w:t>
      </w:r>
    </w:p>
    <w:p w14:paraId="151DC696" w14:textId="5D11CCFB"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lastRenderedPageBreak/>
        <w:t xml:space="preserve">Whereas, through the observational study, primary data can be examined in relation to the secondary data gathered through review of existing literature and case studies regarding the influence of smarter working over job performance. This would enable the researcher to save on time as no intervention is required on the part of the researcher. Direct and actual observations are made by the author to provide accurate and real time insights for the analysis </w:t>
      </w:r>
      <w:sdt>
        <w:sdtPr>
          <w:rPr>
            <w:rFonts w:ascii="Arial" w:hAnsi="Arial" w:cs="Arial"/>
            <w:sz w:val="24"/>
            <w:szCs w:val="24"/>
          </w:rPr>
          <w:id w:val="1289711048"/>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Sed14 \l 1033 </w:instrText>
          </w:r>
          <w:r w:rsidRPr="00227727">
            <w:rPr>
              <w:rFonts w:ascii="Arial" w:hAnsi="Arial" w:cs="Arial"/>
              <w:sz w:val="24"/>
              <w:szCs w:val="24"/>
            </w:rPr>
            <w:fldChar w:fldCharType="separate"/>
          </w:r>
          <w:r w:rsidRPr="00227727">
            <w:rPr>
              <w:rFonts w:ascii="Arial" w:hAnsi="Arial" w:cs="Arial"/>
              <w:noProof/>
              <w:sz w:val="24"/>
              <w:szCs w:val="24"/>
            </w:rPr>
            <w:t>(Sedgwick, 2014)</w:t>
          </w:r>
          <w:r w:rsidRPr="00227727">
            <w:rPr>
              <w:rFonts w:ascii="Arial" w:hAnsi="Arial" w:cs="Arial"/>
              <w:sz w:val="24"/>
              <w:szCs w:val="24"/>
            </w:rPr>
            <w:fldChar w:fldCharType="end"/>
          </w:r>
        </w:sdtContent>
      </w:sdt>
      <w:r w:rsidRPr="00227727">
        <w:rPr>
          <w:rFonts w:ascii="Arial" w:hAnsi="Arial" w:cs="Arial"/>
          <w:sz w:val="24"/>
          <w:szCs w:val="24"/>
        </w:rPr>
        <w:t xml:space="preserve">. A </w:t>
      </w:r>
      <w:r w:rsidR="00351EFC" w:rsidRPr="00227727">
        <w:rPr>
          <w:rFonts w:ascii="Arial" w:hAnsi="Arial" w:cs="Arial"/>
          <w:sz w:val="24"/>
          <w:szCs w:val="24"/>
        </w:rPr>
        <w:t>cross-sectional</w:t>
      </w:r>
      <w:r w:rsidRPr="00227727">
        <w:rPr>
          <w:rFonts w:ascii="Arial" w:hAnsi="Arial" w:cs="Arial"/>
          <w:sz w:val="24"/>
          <w:szCs w:val="24"/>
        </w:rPr>
        <w:t xml:space="preserve"> design will be considered within the study, to analyse the influence of smarter working within a fixed time period. It does not consume a lot of time as compared to its </w:t>
      </w:r>
      <w:r w:rsidR="00351EFC" w:rsidRPr="00227727">
        <w:rPr>
          <w:rFonts w:ascii="Arial" w:hAnsi="Arial" w:cs="Arial"/>
          <w:sz w:val="24"/>
          <w:szCs w:val="24"/>
        </w:rPr>
        <w:t>counterpart,</w:t>
      </w:r>
      <w:r w:rsidRPr="00227727">
        <w:rPr>
          <w:rFonts w:ascii="Arial" w:hAnsi="Arial" w:cs="Arial"/>
          <w:sz w:val="24"/>
          <w:szCs w:val="24"/>
        </w:rPr>
        <w:t xml:space="preserve"> longitudinal study. Moreover, this also reduces the overall cost of the study. Since, a </w:t>
      </w:r>
      <w:r w:rsidR="00351EFC" w:rsidRPr="00227727">
        <w:rPr>
          <w:rFonts w:ascii="Arial" w:hAnsi="Arial" w:cs="Arial"/>
          <w:sz w:val="24"/>
          <w:szCs w:val="24"/>
        </w:rPr>
        <w:t>cross-sectional</w:t>
      </w:r>
      <w:r w:rsidRPr="00227727">
        <w:rPr>
          <w:rFonts w:ascii="Arial" w:hAnsi="Arial" w:cs="Arial"/>
          <w:sz w:val="24"/>
          <w:szCs w:val="24"/>
        </w:rPr>
        <w:t xml:space="preserve"> study considers only one time period, a large part of the population can be included whereas a longitudinal study requires a small sample to be studied after a fixed time period. This also reduces any chances of loss in follow up along with the analysis of various variables at once </w:t>
      </w:r>
      <w:sdt>
        <w:sdtPr>
          <w:rPr>
            <w:rFonts w:ascii="Arial" w:hAnsi="Arial" w:cs="Arial"/>
            <w:sz w:val="24"/>
            <w:szCs w:val="24"/>
          </w:rPr>
          <w:id w:val="-1022083369"/>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Lev06 \l 1033 </w:instrText>
          </w:r>
          <w:r w:rsidRPr="00227727">
            <w:rPr>
              <w:rFonts w:ascii="Arial" w:hAnsi="Arial" w:cs="Arial"/>
              <w:sz w:val="24"/>
              <w:szCs w:val="24"/>
            </w:rPr>
            <w:fldChar w:fldCharType="separate"/>
          </w:r>
          <w:r w:rsidRPr="00227727">
            <w:rPr>
              <w:rFonts w:ascii="Arial" w:hAnsi="Arial" w:cs="Arial"/>
              <w:noProof/>
              <w:sz w:val="24"/>
              <w:szCs w:val="24"/>
            </w:rPr>
            <w:t>(Levin, 2006)</w:t>
          </w:r>
          <w:r w:rsidRPr="00227727">
            <w:rPr>
              <w:rFonts w:ascii="Arial" w:hAnsi="Arial" w:cs="Arial"/>
              <w:sz w:val="24"/>
              <w:szCs w:val="24"/>
            </w:rPr>
            <w:fldChar w:fldCharType="end"/>
          </w:r>
        </w:sdtContent>
      </w:sdt>
      <w:r w:rsidRPr="00227727">
        <w:rPr>
          <w:rFonts w:ascii="Arial" w:hAnsi="Arial" w:cs="Arial"/>
          <w:sz w:val="24"/>
          <w:szCs w:val="24"/>
        </w:rPr>
        <w:t>.</w:t>
      </w:r>
    </w:p>
    <w:p w14:paraId="32581B38"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 xml:space="preserve">Quantitative research uses deductive reasoning to test, confirm, or challenge theories (Leavy, 2022). This method measures variables and examines their relationships for patterns, correlations, and causality. Numerical insights are usually obtained through linear data collection and statistical analysis. The neutrality and objectivity of quantitative research allow large sample sizes to provide a broad understanding of phenomena. This method is ideal for providing a complete explanation or assessment of phenomena. Intersectionality research increasingly uses quantitative methods (Bowleg et al., 2016; Ghavami &amp; Peplau, 2013; Greenwood, 2008; Harackiewicz, Canning, Tibbetts, Priniski, &amp; Hyde, 2015; Seaton, Caldwell, Sellers, &amp; Jackson, 2010), but their efficacy varies. Researchers using intersectional perspectives in quantitative research should follow guidelines that examine how systemic inequalities shape and reinforce social categories to improve methodological integrity. </w:t>
      </w:r>
    </w:p>
    <w:p w14:paraId="79190C0E"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3.2.</w:t>
      </w:r>
      <w:r w:rsidRPr="00227727">
        <w:rPr>
          <w:rFonts w:ascii="Arial" w:hAnsi="Arial" w:cs="Arial"/>
          <w:sz w:val="24"/>
          <w:szCs w:val="24"/>
          <w:lang w:bidi="ta-IN"/>
        </w:rPr>
        <w:t xml:space="preserve"> Justifications and evidences of using Quantitative Research Design</w:t>
      </w:r>
    </w:p>
    <w:tbl>
      <w:tblPr>
        <w:tblStyle w:val="ListTable6Colourfu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929"/>
        <w:gridCol w:w="2835"/>
        <w:gridCol w:w="1505"/>
        <w:gridCol w:w="1636"/>
        <w:gridCol w:w="2211"/>
        <w:gridCol w:w="1640"/>
      </w:tblGrid>
      <w:tr w:rsidR="00227727" w:rsidRPr="00227727" w14:paraId="050AE453" w14:textId="77777777" w:rsidTr="00227727">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shd w:val="clear" w:color="auto" w:fill="auto"/>
            <w:hideMark/>
          </w:tcPr>
          <w:p w14:paraId="50F077A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Serial No.</w:t>
            </w:r>
          </w:p>
        </w:tc>
        <w:tc>
          <w:tcPr>
            <w:tcW w:w="0" w:type="auto"/>
            <w:tcBorders>
              <w:bottom w:val="none" w:sz="0" w:space="0" w:color="auto"/>
            </w:tcBorders>
            <w:shd w:val="clear" w:color="auto" w:fill="auto"/>
            <w:hideMark/>
          </w:tcPr>
          <w:p w14:paraId="342C657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Research Method/Design</w:t>
            </w:r>
          </w:p>
        </w:tc>
        <w:tc>
          <w:tcPr>
            <w:tcW w:w="0" w:type="auto"/>
            <w:tcBorders>
              <w:bottom w:val="none" w:sz="0" w:space="0" w:color="auto"/>
            </w:tcBorders>
            <w:shd w:val="clear" w:color="auto" w:fill="auto"/>
            <w:hideMark/>
          </w:tcPr>
          <w:p w14:paraId="263E625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Research Paradigm</w:t>
            </w:r>
          </w:p>
        </w:tc>
        <w:tc>
          <w:tcPr>
            <w:tcW w:w="0" w:type="auto"/>
            <w:tcBorders>
              <w:bottom w:val="none" w:sz="0" w:space="0" w:color="auto"/>
            </w:tcBorders>
            <w:shd w:val="clear" w:color="auto" w:fill="auto"/>
            <w:hideMark/>
          </w:tcPr>
          <w:p w14:paraId="424FC66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Research Approach</w:t>
            </w:r>
          </w:p>
        </w:tc>
        <w:tc>
          <w:tcPr>
            <w:tcW w:w="0" w:type="auto"/>
            <w:tcBorders>
              <w:bottom w:val="none" w:sz="0" w:space="0" w:color="auto"/>
            </w:tcBorders>
            <w:shd w:val="clear" w:color="auto" w:fill="auto"/>
            <w:hideMark/>
          </w:tcPr>
          <w:p w14:paraId="097C122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Sampling Technique</w:t>
            </w:r>
          </w:p>
        </w:tc>
        <w:tc>
          <w:tcPr>
            <w:tcW w:w="0" w:type="auto"/>
            <w:tcBorders>
              <w:bottom w:val="none" w:sz="0" w:space="0" w:color="auto"/>
            </w:tcBorders>
            <w:shd w:val="clear" w:color="auto" w:fill="auto"/>
            <w:hideMark/>
          </w:tcPr>
          <w:p w14:paraId="77D016E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Sources</w:t>
            </w:r>
          </w:p>
        </w:tc>
      </w:tr>
      <w:tr w:rsidR="00227727" w:rsidRPr="00227727" w14:paraId="225D9894" w14:textId="77777777" w:rsidTr="00227727">
        <w:tc>
          <w:tcPr>
            <w:tcW w:w="0" w:type="auto"/>
            <w:shd w:val="clear" w:color="auto" w:fill="auto"/>
            <w:hideMark/>
          </w:tcPr>
          <w:p w14:paraId="0DE6002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w:t>
            </w:r>
          </w:p>
        </w:tc>
        <w:tc>
          <w:tcPr>
            <w:tcW w:w="0" w:type="auto"/>
            <w:shd w:val="clear" w:color="auto" w:fill="auto"/>
            <w:hideMark/>
          </w:tcPr>
          <w:p w14:paraId="4BA15E6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Survey-based empirical analysis</w:t>
            </w:r>
          </w:p>
        </w:tc>
        <w:tc>
          <w:tcPr>
            <w:tcW w:w="0" w:type="auto"/>
            <w:shd w:val="clear" w:color="auto" w:fill="auto"/>
            <w:hideMark/>
          </w:tcPr>
          <w:p w14:paraId="08AFFED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Positivism</w:t>
            </w:r>
          </w:p>
        </w:tc>
        <w:tc>
          <w:tcPr>
            <w:tcW w:w="0" w:type="auto"/>
            <w:shd w:val="clear" w:color="auto" w:fill="auto"/>
            <w:hideMark/>
          </w:tcPr>
          <w:p w14:paraId="62CF90D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Quantitative</w:t>
            </w:r>
          </w:p>
        </w:tc>
        <w:tc>
          <w:tcPr>
            <w:tcW w:w="0" w:type="auto"/>
            <w:shd w:val="clear" w:color="auto" w:fill="auto"/>
            <w:hideMark/>
          </w:tcPr>
          <w:p w14:paraId="4FF5283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Convenience sampling (206 teachers)</w:t>
            </w:r>
          </w:p>
        </w:tc>
        <w:tc>
          <w:tcPr>
            <w:tcW w:w="0" w:type="auto"/>
            <w:shd w:val="clear" w:color="auto" w:fill="auto"/>
            <w:hideMark/>
          </w:tcPr>
          <w:p w14:paraId="0B143C6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Rainero and Modarelli (2020)</w:t>
            </w:r>
          </w:p>
        </w:tc>
      </w:tr>
      <w:tr w:rsidR="00227727" w:rsidRPr="00227727" w14:paraId="07F70105" w14:textId="77777777" w:rsidTr="00227727">
        <w:tc>
          <w:tcPr>
            <w:tcW w:w="0" w:type="auto"/>
            <w:shd w:val="clear" w:color="auto" w:fill="auto"/>
            <w:hideMark/>
          </w:tcPr>
          <w:p w14:paraId="7BB32DD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2</w:t>
            </w:r>
          </w:p>
        </w:tc>
        <w:tc>
          <w:tcPr>
            <w:tcW w:w="0" w:type="auto"/>
            <w:shd w:val="clear" w:color="auto" w:fill="auto"/>
            <w:hideMark/>
          </w:tcPr>
          <w:p w14:paraId="23F2ADA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Cross-sectional survey</w:t>
            </w:r>
          </w:p>
        </w:tc>
        <w:tc>
          <w:tcPr>
            <w:tcW w:w="0" w:type="auto"/>
            <w:shd w:val="clear" w:color="auto" w:fill="auto"/>
            <w:hideMark/>
          </w:tcPr>
          <w:p w14:paraId="2FFBE49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Positivism</w:t>
            </w:r>
          </w:p>
        </w:tc>
        <w:tc>
          <w:tcPr>
            <w:tcW w:w="0" w:type="auto"/>
            <w:shd w:val="clear" w:color="auto" w:fill="auto"/>
            <w:hideMark/>
          </w:tcPr>
          <w:p w14:paraId="6D7C317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Quantitative</w:t>
            </w:r>
          </w:p>
        </w:tc>
        <w:tc>
          <w:tcPr>
            <w:tcW w:w="0" w:type="auto"/>
            <w:shd w:val="clear" w:color="auto" w:fill="auto"/>
            <w:hideMark/>
          </w:tcPr>
          <w:p w14:paraId="5081A0A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Random sampling (360 participants)</w:t>
            </w:r>
          </w:p>
        </w:tc>
        <w:tc>
          <w:tcPr>
            <w:tcW w:w="0" w:type="auto"/>
            <w:shd w:val="clear" w:color="auto" w:fill="auto"/>
            <w:hideMark/>
          </w:tcPr>
          <w:p w14:paraId="17FE0AF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Hassan et al. (2020)</w:t>
            </w:r>
          </w:p>
        </w:tc>
      </w:tr>
      <w:tr w:rsidR="00227727" w:rsidRPr="00227727" w14:paraId="522FCF43" w14:textId="77777777" w:rsidTr="00227727">
        <w:tc>
          <w:tcPr>
            <w:tcW w:w="0" w:type="auto"/>
            <w:shd w:val="clear" w:color="auto" w:fill="auto"/>
            <w:hideMark/>
          </w:tcPr>
          <w:p w14:paraId="29EED02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3</w:t>
            </w:r>
          </w:p>
        </w:tc>
        <w:tc>
          <w:tcPr>
            <w:tcW w:w="0" w:type="auto"/>
            <w:shd w:val="clear" w:color="auto" w:fill="auto"/>
            <w:hideMark/>
          </w:tcPr>
          <w:p w14:paraId="49B3DF2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Exploratory and confirmatory factor analysis (EFA/CFA)</w:t>
            </w:r>
          </w:p>
        </w:tc>
        <w:tc>
          <w:tcPr>
            <w:tcW w:w="0" w:type="auto"/>
            <w:shd w:val="clear" w:color="auto" w:fill="auto"/>
            <w:hideMark/>
          </w:tcPr>
          <w:p w14:paraId="1485A2F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Positivism</w:t>
            </w:r>
          </w:p>
        </w:tc>
        <w:tc>
          <w:tcPr>
            <w:tcW w:w="0" w:type="auto"/>
            <w:shd w:val="clear" w:color="auto" w:fill="auto"/>
            <w:hideMark/>
          </w:tcPr>
          <w:p w14:paraId="65CA44A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Quantitative</w:t>
            </w:r>
          </w:p>
        </w:tc>
        <w:tc>
          <w:tcPr>
            <w:tcW w:w="0" w:type="auto"/>
            <w:shd w:val="clear" w:color="auto" w:fill="auto"/>
            <w:hideMark/>
          </w:tcPr>
          <w:p w14:paraId="1BB8DA3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Purposive sampling (316 employees)</w:t>
            </w:r>
          </w:p>
        </w:tc>
        <w:tc>
          <w:tcPr>
            <w:tcW w:w="0" w:type="auto"/>
            <w:shd w:val="clear" w:color="auto" w:fill="auto"/>
            <w:hideMark/>
          </w:tcPr>
          <w:p w14:paraId="1D9758A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 xml:space="preserve">Pradhan and Hati (2019) </w:t>
            </w:r>
          </w:p>
        </w:tc>
      </w:tr>
      <w:tr w:rsidR="00227727" w:rsidRPr="00227727" w14:paraId="48FEDA49" w14:textId="77777777" w:rsidTr="00227727">
        <w:tc>
          <w:tcPr>
            <w:tcW w:w="0" w:type="auto"/>
            <w:shd w:val="clear" w:color="auto" w:fill="auto"/>
            <w:hideMark/>
          </w:tcPr>
          <w:p w14:paraId="0F2F0EB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4</w:t>
            </w:r>
          </w:p>
        </w:tc>
        <w:tc>
          <w:tcPr>
            <w:tcW w:w="0" w:type="auto"/>
            <w:shd w:val="clear" w:color="auto" w:fill="auto"/>
            <w:hideMark/>
          </w:tcPr>
          <w:p w14:paraId="1B54400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Structural equation modeling (SEM-PLS)</w:t>
            </w:r>
          </w:p>
        </w:tc>
        <w:tc>
          <w:tcPr>
            <w:tcW w:w="0" w:type="auto"/>
            <w:shd w:val="clear" w:color="auto" w:fill="auto"/>
            <w:hideMark/>
          </w:tcPr>
          <w:p w14:paraId="0A27F85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Positivism</w:t>
            </w:r>
          </w:p>
        </w:tc>
        <w:tc>
          <w:tcPr>
            <w:tcW w:w="0" w:type="auto"/>
            <w:shd w:val="clear" w:color="auto" w:fill="auto"/>
            <w:hideMark/>
          </w:tcPr>
          <w:p w14:paraId="3A6F389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Quantitative</w:t>
            </w:r>
          </w:p>
        </w:tc>
        <w:tc>
          <w:tcPr>
            <w:tcW w:w="0" w:type="auto"/>
            <w:shd w:val="clear" w:color="auto" w:fill="auto"/>
            <w:hideMark/>
          </w:tcPr>
          <w:p w14:paraId="57DAAC8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Purposive sampling (105 employees)</w:t>
            </w:r>
          </w:p>
        </w:tc>
        <w:tc>
          <w:tcPr>
            <w:tcW w:w="0" w:type="auto"/>
            <w:shd w:val="clear" w:color="auto" w:fill="auto"/>
            <w:hideMark/>
          </w:tcPr>
          <w:p w14:paraId="7B1AAA2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Sabuhari et al. (2020)</w:t>
            </w:r>
          </w:p>
        </w:tc>
      </w:tr>
      <w:tr w:rsidR="00227727" w:rsidRPr="00227727" w14:paraId="6A31579B" w14:textId="77777777" w:rsidTr="0022772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408F1DE" w14:textId="77777777" w:rsidR="00227727" w:rsidRPr="00227727" w:rsidRDefault="00227727" w:rsidP="00E772F3">
            <w:pPr>
              <w:spacing w:line="360" w:lineRule="auto"/>
              <w:rPr>
                <w:rFonts w:ascii="Arial" w:eastAsia="Times New Roman" w:hAnsi="Arial" w:cs="Arial"/>
                <w:b w:val="0"/>
                <w:sz w:val="22"/>
              </w:rPr>
            </w:pPr>
            <w:r w:rsidRPr="00227727">
              <w:rPr>
                <w:rFonts w:ascii="Arial" w:eastAsia="Times New Roman" w:hAnsi="Arial" w:cs="Arial"/>
                <w:sz w:val="22"/>
              </w:rPr>
              <w:t xml:space="preserve">5 </w:t>
            </w:r>
          </w:p>
        </w:tc>
        <w:tc>
          <w:tcPr>
            <w:tcW w:w="0" w:type="auto"/>
            <w:shd w:val="clear" w:color="auto" w:fill="auto"/>
            <w:hideMark/>
          </w:tcPr>
          <w:p w14:paraId="1633B934"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Quantitative: Fuzzy Delphi Method &amp; PLS-SEM</w:t>
            </w:r>
          </w:p>
        </w:tc>
        <w:tc>
          <w:tcPr>
            <w:tcW w:w="0" w:type="auto"/>
            <w:shd w:val="clear" w:color="auto" w:fill="auto"/>
            <w:hideMark/>
          </w:tcPr>
          <w:p w14:paraId="5954B46A"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Positivism</w:t>
            </w:r>
          </w:p>
        </w:tc>
        <w:tc>
          <w:tcPr>
            <w:tcW w:w="0" w:type="auto"/>
            <w:shd w:val="clear" w:color="auto" w:fill="auto"/>
            <w:hideMark/>
          </w:tcPr>
          <w:p w14:paraId="219A2D03"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Quantitative</w:t>
            </w:r>
          </w:p>
        </w:tc>
        <w:tc>
          <w:tcPr>
            <w:tcW w:w="0" w:type="auto"/>
            <w:shd w:val="clear" w:color="auto" w:fill="auto"/>
            <w:hideMark/>
          </w:tcPr>
          <w:p w14:paraId="32BD9226"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Purposive sampling (260 employees)</w:t>
            </w:r>
          </w:p>
        </w:tc>
        <w:tc>
          <w:tcPr>
            <w:tcW w:w="0" w:type="auto"/>
            <w:shd w:val="clear" w:color="auto" w:fill="auto"/>
            <w:hideMark/>
          </w:tcPr>
          <w:p w14:paraId="2D9C8F47"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b/>
                <w:sz w:val="22"/>
              </w:rPr>
              <w:t>Alnoor et al</w:t>
            </w:r>
            <w:r w:rsidRPr="00227727">
              <w:rPr>
                <w:rFonts w:ascii="Arial" w:eastAsia="Times New Roman" w:hAnsi="Arial" w:cs="Arial"/>
                <w:sz w:val="22"/>
              </w:rPr>
              <w:t>. (2022)</w:t>
            </w:r>
          </w:p>
        </w:tc>
      </w:tr>
      <w:tr w:rsidR="00227727" w:rsidRPr="00227727" w14:paraId="58303DE0" w14:textId="77777777" w:rsidTr="0022772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1FAB3B9" w14:textId="77777777" w:rsidR="00227727" w:rsidRPr="00227727" w:rsidRDefault="00227727" w:rsidP="00E772F3">
            <w:pPr>
              <w:spacing w:line="360" w:lineRule="auto"/>
              <w:rPr>
                <w:rFonts w:ascii="Arial" w:eastAsia="Times New Roman" w:hAnsi="Arial" w:cs="Arial"/>
                <w:b w:val="0"/>
                <w:sz w:val="22"/>
              </w:rPr>
            </w:pPr>
            <w:r w:rsidRPr="00227727">
              <w:rPr>
                <w:rFonts w:ascii="Arial" w:eastAsia="Times New Roman" w:hAnsi="Arial" w:cs="Arial"/>
                <w:sz w:val="22"/>
              </w:rPr>
              <w:t xml:space="preserve">6 </w:t>
            </w:r>
          </w:p>
        </w:tc>
        <w:tc>
          <w:tcPr>
            <w:tcW w:w="0" w:type="auto"/>
            <w:shd w:val="clear" w:color="auto" w:fill="auto"/>
            <w:hideMark/>
          </w:tcPr>
          <w:p w14:paraId="09CD6E97"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Pilot Study with Online Survey</w:t>
            </w:r>
          </w:p>
        </w:tc>
        <w:tc>
          <w:tcPr>
            <w:tcW w:w="0" w:type="auto"/>
            <w:shd w:val="clear" w:color="auto" w:fill="auto"/>
            <w:hideMark/>
          </w:tcPr>
          <w:p w14:paraId="29185B0B"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Positivism</w:t>
            </w:r>
          </w:p>
        </w:tc>
        <w:tc>
          <w:tcPr>
            <w:tcW w:w="0" w:type="auto"/>
            <w:shd w:val="clear" w:color="auto" w:fill="auto"/>
            <w:hideMark/>
          </w:tcPr>
          <w:p w14:paraId="26698AB5"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Quantitative</w:t>
            </w:r>
          </w:p>
        </w:tc>
        <w:tc>
          <w:tcPr>
            <w:tcW w:w="0" w:type="auto"/>
            <w:shd w:val="clear" w:color="auto" w:fill="auto"/>
            <w:hideMark/>
          </w:tcPr>
          <w:p w14:paraId="39FB048E"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Random sampling (Italian employees)</w:t>
            </w:r>
          </w:p>
        </w:tc>
        <w:tc>
          <w:tcPr>
            <w:tcW w:w="0" w:type="auto"/>
            <w:shd w:val="clear" w:color="auto" w:fill="auto"/>
            <w:hideMark/>
          </w:tcPr>
          <w:p w14:paraId="6DEA7FA8"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Petrillo et al. (2021)</w:t>
            </w:r>
          </w:p>
        </w:tc>
      </w:tr>
      <w:tr w:rsidR="00227727" w:rsidRPr="00227727" w14:paraId="62ABA81C" w14:textId="77777777" w:rsidTr="0022772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DC29F27" w14:textId="77777777" w:rsidR="00227727" w:rsidRPr="00227727" w:rsidRDefault="00227727" w:rsidP="00E772F3">
            <w:pPr>
              <w:spacing w:line="360" w:lineRule="auto"/>
              <w:rPr>
                <w:rFonts w:ascii="Arial" w:eastAsia="Times New Roman" w:hAnsi="Arial" w:cs="Arial"/>
                <w:b w:val="0"/>
                <w:sz w:val="22"/>
              </w:rPr>
            </w:pPr>
            <w:r w:rsidRPr="00227727">
              <w:rPr>
                <w:rFonts w:ascii="Arial" w:eastAsia="Times New Roman" w:hAnsi="Arial" w:cs="Arial"/>
                <w:sz w:val="22"/>
              </w:rPr>
              <w:lastRenderedPageBreak/>
              <w:t>7</w:t>
            </w:r>
          </w:p>
        </w:tc>
        <w:tc>
          <w:tcPr>
            <w:tcW w:w="0" w:type="auto"/>
            <w:shd w:val="clear" w:color="auto" w:fill="auto"/>
            <w:hideMark/>
          </w:tcPr>
          <w:p w14:paraId="3E6080C5"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Structural Equation Modeling</w:t>
            </w:r>
          </w:p>
        </w:tc>
        <w:tc>
          <w:tcPr>
            <w:tcW w:w="0" w:type="auto"/>
            <w:shd w:val="clear" w:color="auto" w:fill="auto"/>
            <w:hideMark/>
          </w:tcPr>
          <w:p w14:paraId="1738EB19"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Positivism</w:t>
            </w:r>
          </w:p>
        </w:tc>
        <w:tc>
          <w:tcPr>
            <w:tcW w:w="0" w:type="auto"/>
            <w:shd w:val="clear" w:color="auto" w:fill="auto"/>
            <w:hideMark/>
          </w:tcPr>
          <w:p w14:paraId="7D9FD646"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Quantitative</w:t>
            </w:r>
          </w:p>
        </w:tc>
        <w:tc>
          <w:tcPr>
            <w:tcW w:w="0" w:type="auto"/>
            <w:shd w:val="clear" w:color="auto" w:fill="auto"/>
            <w:hideMark/>
          </w:tcPr>
          <w:p w14:paraId="77EC4478"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Random sampling (315 MSME workers)</w:t>
            </w:r>
          </w:p>
        </w:tc>
        <w:tc>
          <w:tcPr>
            <w:tcW w:w="0" w:type="auto"/>
            <w:shd w:val="clear" w:color="auto" w:fill="auto"/>
            <w:hideMark/>
          </w:tcPr>
          <w:p w14:paraId="3E0BB857" w14:textId="77777777" w:rsidR="00227727" w:rsidRPr="00227727" w:rsidRDefault="00227727" w:rsidP="00E772F3">
            <w:pPr>
              <w:spacing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Yasinta et al. (2024)</w:t>
            </w:r>
          </w:p>
        </w:tc>
      </w:tr>
      <w:tr w:rsidR="00227727" w:rsidRPr="00227727" w14:paraId="4CB62CD6" w14:textId="77777777" w:rsidTr="0022772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E5D3773" w14:textId="77777777" w:rsidR="00227727" w:rsidRPr="00227727" w:rsidRDefault="00227727" w:rsidP="00E772F3">
            <w:pPr>
              <w:spacing w:line="360" w:lineRule="auto"/>
              <w:rPr>
                <w:rFonts w:ascii="Arial" w:eastAsia="Times New Roman" w:hAnsi="Arial" w:cs="Arial"/>
                <w:b w:val="0"/>
                <w:sz w:val="22"/>
              </w:rPr>
            </w:pPr>
            <w:r w:rsidRPr="00227727">
              <w:rPr>
                <w:rFonts w:ascii="Arial" w:eastAsia="Times New Roman" w:hAnsi="Arial" w:cs="Arial"/>
                <w:sz w:val="22"/>
              </w:rPr>
              <w:t xml:space="preserve">8 </w:t>
            </w:r>
          </w:p>
        </w:tc>
        <w:tc>
          <w:tcPr>
            <w:tcW w:w="0" w:type="auto"/>
            <w:shd w:val="clear" w:color="auto" w:fill="auto"/>
            <w:hideMark/>
          </w:tcPr>
          <w:p w14:paraId="09252B98"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Randomized Controlled Trial</w:t>
            </w:r>
          </w:p>
        </w:tc>
        <w:tc>
          <w:tcPr>
            <w:tcW w:w="0" w:type="auto"/>
            <w:shd w:val="clear" w:color="auto" w:fill="auto"/>
            <w:hideMark/>
          </w:tcPr>
          <w:p w14:paraId="72062096"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Positivism</w:t>
            </w:r>
          </w:p>
        </w:tc>
        <w:tc>
          <w:tcPr>
            <w:tcW w:w="0" w:type="auto"/>
            <w:shd w:val="clear" w:color="auto" w:fill="auto"/>
            <w:hideMark/>
          </w:tcPr>
          <w:p w14:paraId="701D076F"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Quantitative</w:t>
            </w:r>
          </w:p>
        </w:tc>
        <w:tc>
          <w:tcPr>
            <w:tcW w:w="0" w:type="auto"/>
            <w:shd w:val="clear" w:color="auto" w:fill="auto"/>
            <w:hideMark/>
          </w:tcPr>
          <w:p w14:paraId="24B33193"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Random sampling (310 workers)</w:t>
            </w:r>
          </w:p>
        </w:tc>
        <w:tc>
          <w:tcPr>
            <w:tcW w:w="0" w:type="auto"/>
            <w:shd w:val="clear" w:color="auto" w:fill="auto"/>
            <w:hideMark/>
          </w:tcPr>
          <w:p w14:paraId="09819ECF" w14:textId="77777777" w:rsidR="00227727" w:rsidRPr="00227727" w:rsidRDefault="00227727" w:rsidP="00E772F3">
            <w:pPr>
              <w:spacing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Angelici and Profeta (2023)</w:t>
            </w:r>
          </w:p>
        </w:tc>
      </w:tr>
      <w:tr w:rsidR="00227727" w:rsidRPr="00227727" w14:paraId="4E6ABF10" w14:textId="77777777" w:rsidTr="0022772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3E2EC15" w14:textId="77777777" w:rsidR="00227727" w:rsidRPr="00227727" w:rsidRDefault="00227727" w:rsidP="00E772F3">
            <w:pPr>
              <w:rPr>
                <w:rFonts w:ascii="Arial" w:eastAsia="Times New Roman" w:hAnsi="Arial" w:cs="Arial"/>
                <w:b w:val="0"/>
                <w:sz w:val="22"/>
              </w:rPr>
            </w:pPr>
            <w:r w:rsidRPr="00227727">
              <w:rPr>
                <w:rFonts w:ascii="Arial" w:eastAsia="Times New Roman" w:hAnsi="Arial" w:cs="Arial"/>
                <w:sz w:val="22"/>
              </w:rPr>
              <w:t>9</w:t>
            </w:r>
          </w:p>
        </w:tc>
        <w:tc>
          <w:tcPr>
            <w:tcW w:w="0" w:type="auto"/>
            <w:shd w:val="clear" w:color="auto" w:fill="auto"/>
            <w:hideMark/>
          </w:tcPr>
          <w:p w14:paraId="3387890B"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Survey-based quantitative study</w:t>
            </w:r>
          </w:p>
        </w:tc>
        <w:tc>
          <w:tcPr>
            <w:tcW w:w="0" w:type="auto"/>
            <w:shd w:val="clear" w:color="auto" w:fill="auto"/>
            <w:hideMark/>
          </w:tcPr>
          <w:p w14:paraId="71A1334D"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Positivist</w:t>
            </w:r>
          </w:p>
        </w:tc>
        <w:tc>
          <w:tcPr>
            <w:tcW w:w="0" w:type="auto"/>
            <w:shd w:val="clear" w:color="auto" w:fill="auto"/>
            <w:hideMark/>
          </w:tcPr>
          <w:p w14:paraId="5039F5AD"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Deductive</w:t>
            </w:r>
          </w:p>
        </w:tc>
        <w:tc>
          <w:tcPr>
            <w:tcW w:w="0" w:type="auto"/>
            <w:shd w:val="clear" w:color="auto" w:fill="auto"/>
            <w:hideMark/>
          </w:tcPr>
          <w:p w14:paraId="5A92CC7B"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Random sampling</w:t>
            </w:r>
          </w:p>
        </w:tc>
        <w:tc>
          <w:tcPr>
            <w:tcW w:w="0" w:type="auto"/>
            <w:shd w:val="clear" w:color="auto" w:fill="auto"/>
            <w:hideMark/>
          </w:tcPr>
          <w:p w14:paraId="4CBB7455"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Zaman et al. (2020)</w:t>
            </w:r>
          </w:p>
        </w:tc>
      </w:tr>
      <w:tr w:rsidR="00227727" w:rsidRPr="00227727" w14:paraId="147E4B69" w14:textId="77777777" w:rsidTr="0022772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030AF03" w14:textId="77777777" w:rsidR="00227727" w:rsidRPr="00227727" w:rsidRDefault="00227727" w:rsidP="00E772F3">
            <w:pPr>
              <w:rPr>
                <w:rFonts w:ascii="Arial" w:eastAsia="Times New Roman" w:hAnsi="Arial" w:cs="Arial"/>
                <w:b w:val="0"/>
                <w:sz w:val="22"/>
              </w:rPr>
            </w:pPr>
            <w:r w:rsidRPr="00227727">
              <w:rPr>
                <w:rFonts w:ascii="Arial" w:eastAsia="Times New Roman" w:hAnsi="Arial" w:cs="Arial"/>
                <w:sz w:val="22"/>
              </w:rPr>
              <w:t>10</w:t>
            </w:r>
          </w:p>
        </w:tc>
        <w:tc>
          <w:tcPr>
            <w:tcW w:w="0" w:type="auto"/>
            <w:shd w:val="clear" w:color="auto" w:fill="auto"/>
            <w:hideMark/>
          </w:tcPr>
          <w:p w14:paraId="16B6FD01"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Structured questionnaire</w:t>
            </w:r>
          </w:p>
        </w:tc>
        <w:tc>
          <w:tcPr>
            <w:tcW w:w="0" w:type="auto"/>
            <w:shd w:val="clear" w:color="auto" w:fill="auto"/>
            <w:hideMark/>
          </w:tcPr>
          <w:p w14:paraId="0514CD08"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Positivist</w:t>
            </w:r>
          </w:p>
        </w:tc>
        <w:tc>
          <w:tcPr>
            <w:tcW w:w="0" w:type="auto"/>
            <w:shd w:val="clear" w:color="auto" w:fill="auto"/>
            <w:hideMark/>
          </w:tcPr>
          <w:p w14:paraId="0A0A7231"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Deductive</w:t>
            </w:r>
          </w:p>
        </w:tc>
        <w:tc>
          <w:tcPr>
            <w:tcW w:w="0" w:type="auto"/>
            <w:shd w:val="clear" w:color="auto" w:fill="auto"/>
            <w:hideMark/>
          </w:tcPr>
          <w:p w14:paraId="4DCB83D0"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Purposive sampling</w:t>
            </w:r>
          </w:p>
        </w:tc>
        <w:tc>
          <w:tcPr>
            <w:tcW w:w="0" w:type="auto"/>
            <w:shd w:val="clear" w:color="auto" w:fill="auto"/>
            <w:hideMark/>
          </w:tcPr>
          <w:p w14:paraId="138C9D61"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Xie et al. (2023)</w:t>
            </w:r>
          </w:p>
        </w:tc>
      </w:tr>
      <w:tr w:rsidR="00227727" w:rsidRPr="00227727" w14:paraId="72F6B492" w14:textId="77777777" w:rsidTr="0022772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C1FC553" w14:textId="77777777" w:rsidR="00227727" w:rsidRPr="00227727" w:rsidRDefault="00227727" w:rsidP="00E772F3">
            <w:pPr>
              <w:rPr>
                <w:rFonts w:ascii="Arial" w:eastAsia="Times New Roman" w:hAnsi="Arial" w:cs="Arial"/>
                <w:b w:val="0"/>
                <w:sz w:val="22"/>
              </w:rPr>
            </w:pPr>
            <w:r w:rsidRPr="00227727">
              <w:rPr>
                <w:rFonts w:ascii="Arial" w:eastAsia="Times New Roman" w:hAnsi="Arial" w:cs="Arial"/>
                <w:sz w:val="22"/>
              </w:rPr>
              <w:t>11</w:t>
            </w:r>
          </w:p>
        </w:tc>
        <w:tc>
          <w:tcPr>
            <w:tcW w:w="0" w:type="auto"/>
            <w:shd w:val="clear" w:color="auto" w:fill="auto"/>
            <w:hideMark/>
          </w:tcPr>
          <w:p w14:paraId="79E1D43F"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Quantitative survey</w:t>
            </w:r>
          </w:p>
        </w:tc>
        <w:tc>
          <w:tcPr>
            <w:tcW w:w="0" w:type="auto"/>
            <w:shd w:val="clear" w:color="auto" w:fill="auto"/>
            <w:hideMark/>
          </w:tcPr>
          <w:p w14:paraId="67985F95"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Positivist</w:t>
            </w:r>
          </w:p>
        </w:tc>
        <w:tc>
          <w:tcPr>
            <w:tcW w:w="0" w:type="auto"/>
            <w:shd w:val="clear" w:color="auto" w:fill="auto"/>
            <w:hideMark/>
          </w:tcPr>
          <w:p w14:paraId="5B97CA24"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Deductive</w:t>
            </w:r>
          </w:p>
        </w:tc>
        <w:tc>
          <w:tcPr>
            <w:tcW w:w="0" w:type="auto"/>
            <w:shd w:val="clear" w:color="auto" w:fill="auto"/>
            <w:hideMark/>
          </w:tcPr>
          <w:p w14:paraId="6932C04F"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Simple random sampling</w:t>
            </w:r>
          </w:p>
        </w:tc>
        <w:tc>
          <w:tcPr>
            <w:tcW w:w="0" w:type="auto"/>
            <w:shd w:val="clear" w:color="auto" w:fill="auto"/>
            <w:hideMark/>
          </w:tcPr>
          <w:p w14:paraId="5B0892DB"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Saadeh and Suifan (2019)</w:t>
            </w:r>
          </w:p>
        </w:tc>
      </w:tr>
      <w:tr w:rsidR="00227727" w:rsidRPr="00227727" w14:paraId="088234E6" w14:textId="77777777" w:rsidTr="0022772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D7A3D25" w14:textId="77777777" w:rsidR="00227727" w:rsidRPr="00227727" w:rsidRDefault="00227727" w:rsidP="00E772F3">
            <w:pPr>
              <w:rPr>
                <w:rFonts w:ascii="Arial" w:eastAsia="Times New Roman" w:hAnsi="Arial" w:cs="Arial"/>
                <w:b w:val="0"/>
                <w:sz w:val="22"/>
              </w:rPr>
            </w:pPr>
            <w:r w:rsidRPr="00227727">
              <w:rPr>
                <w:rFonts w:ascii="Arial" w:eastAsia="Times New Roman" w:hAnsi="Arial" w:cs="Arial"/>
                <w:sz w:val="22"/>
              </w:rPr>
              <w:t>12</w:t>
            </w:r>
          </w:p>
        </w:tc>
        <w:tc>
          <w:tcPr>
            <w:tcW w:w="0" w:type="auto"/>
            <w:shd w:val="clear" w:color="auto" w:fill="auto"/>
            <w:hideMark/>
          </w:tcPr>
          <w:p w14:paraId="5588BB3D"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Cross-sectional survey</w:t>
            </w:r>
          </w:p>
        </w:tc>
        <w:tc>
          <w:tcPr>
            <w:tcW w:w="0" w:type="auto"/>
            <w:shd w:val="clear" w:color="auto" w:fill="auto"/>
            <w:hideMark/>
          </w:tcPr>
          <w:p w14:paraId="7983E44E"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Positivist</w:t>
            </w:r>
          </w:p>
        </w:tc>
        <w:tc>
          <w:tcPr>
            <w:tcW w:w="0" w:type="auto"/>
            <w:shd w:val="clear" w:color="auto" w:fill="auto"/>
            <w:hideMark/>
          </w:tcPr>
          <w:p w14:paraId="53DA79AC"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Deductive</w:t>
            </w:r>
          </w:p>
        </w:tc>
        <w:tc>
          <w:tcPr>
            <w:tcW w:w="0" w:type="auto"/>
            <w:shd w:val="clear" w:color="auto" w:fill="auto"/>
            <w:hideMark/>
          </w:tcPr>
          <w:p w14:paraId="7F7AA68E"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Convenience sampling</w:t>
            </w:r>
          </w:p>
        </w:tc>
        <w:tc>
          <w:tcPr>
            <w:tcW w:w="0" w:type="auto"/>
            <w:shd w:val="clear" w:color="auto" w:fill="auto"/>
            <w:hideMark/>
          </w:tcPr>
          <w:p w14:paraId="1F548515"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Nisar and Rasheed (2019)</w:t>
            </w:r>
          </w:p>
        </w:tc>
      </w:tr>
      <w:tr w:rsidR="00227727" w:rsidRPr="00227727" w14:paraId="50ED3B8C" w14:textId="77777777" w:rsidTr="0022772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6340CDD" w14:textId="77777777" w:rsidR="00227727" w:rsidRPr="00227727" w:rsidRDefault="00227727" w:rsidP="00E772F3">
            <w:pPr>
              <w:rPr>
                <w:rFonts w:ascii="Arial" w:eastAsia="Times New Roman" w:hAnsi="Arial" w:cs="Arial"/>
                <w:b w:val="0"/>
                <w:sz w:val="22"/>
              </w:rPr>
            </w:pPr>
            <w:r w:rsidRPr="00227727">
              <w:rPr>
                <w:rFonts w:ascii="Arial" w:eastAsia="Times New Roman" w:hAnsi="Arial" w:cs="Arial"/>
                <w:sz w:val="22"/>
              </w:rPr>
              <w:t>13</w:t>
            </w:r>
          </w:p>
        </w:tc>
        <w:tc>
          <w:tcPr>
            <w:tcW w:w="0" w:type="auto"/>
            <w:shd w:val="clear" w:color="auto" w:fill="auto"/>
            <w:hideMark/>
          </w:tcPr>
          <w:p w14:paraId="15DE1B55"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PLS-SEM-based survey</w:t>
            </w:r>
          </w:p>
        </w:tc>
        <w:tc>
          <w:tcPr>
            <w:tcW w:w="0" w:type="auto"/>
            <w:shd w:val="clear" w:color="auto" w:fill="auto"/>
            <w:hideMark/>
          </w:tcPr>
          <w:p w14:paraId="04CB4354"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Positivist</w:t>
            </w:r>
          </w:p>
        </w:tc>
        <w:tc>
          <w:tcPr>
            <w:tcW w:w="0" w:type="auto"/>
            <w:shd w:val="clear" w:color="auto" w:fill="auto"/>
            <w:hideMark/>
          </w:tcPr>
          <w:p w14:paraId="04E2B0E1"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Deductive</w:t>
            </w:r>
          </w:p>
        </w:tc>
        <w:tc>
          <w:tcPr>
            <w:tcW w:w="0" w:type="auto"/>
            <w:shd w:val="clear" w:color="auto" w:fill="auto"/>
            <w:hideMark/>
          </w:tcPr>
          <w:p w14:paraId="07A86688"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Convenience sampling</w:t>
            </w:r>
          </w:p>
        </w:tc>
        <w:tc>
          <w:tcPr>
            <w:tcW w:w="0" w:type="auto"/>
            <w:shd w:val="clear" w:color="auto" w:fill="auto"/>
            <w:hideMark/>
          </w:tcPr>
          <w:p w14:paraId="62722B1F" w14:textId="77777777" w:rsidR="00227727" w:rsidRPr="00227727" w:rsidRDefault="00227727" w:rsidP="00E772F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Johari et al. (2021)</w:t>
            </w:r>
          </w:p>
        </w:tc>
      </w:tr>
      <w:tr w:rsidR="00227727" w:rsidRPr="00227727" w14:paraId="1BBE2252" w14:textId="77777777" w:rsidTr="0022772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8124A4B" w14:textId="77777777" w:rsidR="00227727" w:rsidRPr="00227727" w:rsidRDefault="00227727" w:rsidP="00E772F3">
            <w:pPr>
              <w:rPr>
                <w:rFonts w:ascii="Arial" w:eastAsia="Times New Roman" w:hAnsi="Arial" w:cs="Arial"/>
                <w:b w:val="0"/>
                <w:sz w:val="22"/>
              </w:rPr>
            </w:pPr>
            <w:r w:rsidRPr="00227727">
              <w:rPr>
                <w:rFonts w:ascii="Arial" w:eastAsia="Times New Roman" w:hAnsi="Arial" w:cs="Arial"/>
                <w:sz w:val="22"/>
              </w:rPr>
              <w:t>14</w:t>
            </w:r>
          </w:p>
        </w:tc>
        <w:tc>
          <w:tcPr>
            <w:tcW w:w="0" w:type="auto"/>
            <w:shd w:val="clear" w:color="auto" w:fill="auto"/>
            <w:hideMark/>
          </w:tcPr>
          <w:p w14:paraId="30B8F052"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Survey-based quantitative research</w:t>
            </w:r>
          </w:p>
        </w:tc>
        <w:tc>
          <w:tcPr>
            <w:tcW w:w="0" w:type="auto"/>
            <w:shd w:val="clear" w:color="auto" w:fill="auto"/>
            <w:hideMark/>
          </w:tcPr>
          <w:p w14:paraId="41E841CC"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Positivist</w:t>
            </w:r>
          </w:p>
        </w:tc>
        <w:tc>
          <w:tcPr>
            <w:tcW w:w="0" w:type="auto"/>
            <w:shd w:val="clear" w:color="auto" w:fill="auto"/>
            <w:hideMark/>
          </w:tcPr>
          <w:p w14:paraId="0630F7F2"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Deductive</w:t>
            </w:r>
          </w:p>
        </w:tc>
        <w:tc>
          <w:tcPr>
            <w:tcW w:w="0" w:type="auto"/>
            <w:shd w:val="clear" w:color="auto" w:fill="auto"/>
            <w:hideMark/>
          </w:tcPr>
          <w:p w14:paraId="1FA4A14F"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Stratified sampling</w:t>
            </w:r>
          </w:p>
        </w:tc>
        <w:tc>
          <w:tcPr>
            <w:tcW w:w="0" w:type="auto"/>
            <w:shd w:val="clear" w:color="auto" w:fill="auto"/>
            <w:hideMark/>
          </w:tcPr>
          <w:p w14:paraId="09CD157D" w14:textId="77777777" w:rsidR="00227727" w:rsidRPr="00227727" w:rsidRDefault="00227727" w:rsidP="00E772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rPr>
            </w:pPr>
            <w:r w:rsidRPr="00227727">
              <w:rPr>
                <w:rFonts w:ascii="Arial" w:eastAsia="Times New Roman" w:hAnsi="Arial" w:cs="Arial"/>
                <w:sz w:val="22"/>
              </w:rPr>
              <w:t>Ali and Anwar (2021)</w:t>
            </w:r>
          </w:p>
        </w:tc>
      </w:tr>
    </w:tbl>
    <w:p w14:paraId="68376952" w14:textId="77777777" w:rsidR="00227727" w:rsidRPr="00227727" w:rsidRDefault="00227727" w:rsidP="00227727">
      <w:pPr>
        <w:spacing w:line="360" w:lineRule="auto"/>
        <w:jc w:val="both"/>
        <w:rPr>
          <w:rFonts w:ascii="Arial" w:hAnsi="Arial" w:cs="Arial"/>
          <w:sz w:val="24"/>
          <w:szCs w:val="24"/>
        </w:rPr>
      </w:pPr>
    </w:p>
    <w:p w14:paraId="30D05E35"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The social sciences use positivist quantitative research design to test hypotheses, measure variables, and objectively analyse relationships (see Table 3.2). This method has successfully examined workplace behaviours, organisational practices, and employee outcomes in many studies. Rainero and Modarelli (2020) examined teachers' technology acceptance and urgency in a convenience sampling survey. Hassan et al. (2020) examined how job satisfaction, stress, and motivation affect job performance in a cross-sectional survey with random sampling. These studies utilise quantitative methods to collect numerical data, which are then analysed using statistical tools to establish causality and generalisability. These studies follow positivism, which values objectivity and systematic observation to find facts.</w:t>
      </w:r>
    </w:p>
    <w:p w14:paraId="44BAF4EA"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Like Pradhan and Hati (2019) and Sabuhari et al. (2020), these studies used advanced quantitative methods like exploratory and confirmatory factor analysis (EFA/CFA) and structural equation modelling. These methods let researchers validate measurement models and test complex variable relationships. In 2019, Pradhan and Hati developed and validated a scale to measure employee wellbeing using purposive sampling, while Sabuhari et al. (2020) used SEM-PLS to study how human resource flexibility affects employee performance. These studies demonstrate the power of quantitative research to understand complex organisational phenomena, benefiting academia and practice through purposive sampling and robust statistical models. Objective data collection and rigorous analysis align with positivist causality and generalisation, making these studies reliable and applicable across contexts.</w:t>
      </w:r>
    </w:p>
    <w:p w14:paraId="535290CB"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 xml:space="preserve">The current study uses a quantitative research design like these previous studies to examine smarter working, employee wellbeing, and job performance. This study systematically examines variables using survey-based data collection like Rainero and Modarelli (2020) and Yasinta et al. (2024). Alnoor et al. (2022) and Johari et al. (2021) show structural equation modeling (SEM) ensures statistical rigor when testing mediating and moderating relationships. The current study uses a </w:t>
      </w:r>
      <w:r w:rsidRPr="00227727">
        <w:rPr>
          <w:rFonts w:ascii="Arial" w:hAnsi="Arial" w:cs="Arial"/>
          <w:sz w:val="24"/>
          <w:szCs w:val="24"/>
        </w:rPr>
        <w:lastRenderedPageBreak/>
        <w:t>quantitative, positivist approach to objectively and generalisable examine how smarter working and HRM practices affect public sector employees' wellbeing and job performance. This alignment with previous studies strengthens the research design and ensures the results add meaning to knowledge.</w:t>
      </w:r>
    </w:p>
    <w:p w14:paraId="2189A925" w14:textId="77777777" w:rsidR="00227727" w:rsidRPr="00227727" w:rsidRDefault="00227727" w:rsidP="00227727">
      <w:pPr>
        <w:pStyle w:val="Heading4"/>
        <w:rPr>
          <w:rFonts w:ascii="Arial" w:hAnsi="Arial" w:cs="Arial"/>
        </w:rPr>
      </w:pPr>
      <w:r w:rsidRPr="00227727">
        <w:rPr>
          <w:rFonts w:ascii="Arial" w:hAnsi="Arial" w:cs="Arial"/>
        </w:rPr>
        <w:t>Deductive Approach</w:t>
      </w:r>
    </w:p>
    <w:p w14:paraId="392AAB69" w14:textId="77777777" w:rsidR="00227727" w:rsidRPr="00227727" w:rsidRDefault="00227727" w:rsidP="00227727">
      <w:pPr>
        <w:pStyle w:val="NormalWeb"/>
        <w:spacing w:before="0" w:beforeAutospacing="0" w:after="0" w:afterAutospacing="0" w:line="360" w:lineRule="auto"/>
        <w:jc w:val="both"/>
        <w:rPr>
          <w:rFonts w:ascii="Arial" w:hAnsi="Arial" w:cs="Arial"/>
          <w:color w:val="0E101A"/>
          <w:lang w:val="en-GB"/>
        </w:rPr>
      </w:pPr>
      <w:r w:rsidRPr="00227727">
        <w:rPr>
          <w:rFonts w:ascii="Arial" w:hAnsi="Arial" w:cs="Arial"/>
          <w:color w:val="0E101A"/>
          <w:lang w:val="en-GB"/>
        </w:rPr>
        <w:t xml:space="preserve">This study uses a deductive approach to test the existing theory and hypotheses. The research questions are best answered using the deductive approach, starting with theories and frameworks, forming hypotheses, and testing them empirically. Deductive reasoning emphasises objectivity, systematic data collection, and hypothesis testing to validate variable relationships, aligning with positivism. Based on the </w:t>
      </w:r>
      <w:r w:rsidRPr="00227727">
        <w:rPr>
          <w:rStyle w:val="Emphasis"/>
          <w:rFonts w:ascii="Arial" w:eastAsiaTheme="majorEastAsia" w:hAnsi="Arial" w:cs="Arial"/>
          <w:color w:val="0E101A"/>
          <w:lang w:val="en-GB"/>
        </w:rPr>
        <w:t>Job Demands-Resources (JD-R) model</w:t>
      </w:r>
      <w:r w:rsidRPr="00227727">
        <w:rPr>
          <w:rFonts w:ascii="Arial" w:hAnsi="Arial" w:cs="Arial"/>
          <w:color w:val="0E101A"/>
          <w:lang w:val="en-GB"/>
        </w:rPr>
        <w:t>, which predicts how workplace practices affect performance, this study examines how smarter working affects job performance (RQ1). Johari et al. (2021) and Alnoor et al. (2022) use structured quantitative techniques like PLS-SEM to test hypotheses, demonstrating the effectiveness of deductive approaches in exploring causal relationships.</w:t>
      </w:r>
    </w:p>
    <w:p w14:paraId="34FEB31D" w14:textId="77777777" w:rsidR="00227727" w:rsidRPr="00227727" w:rsidRDefault="00227727" w:rsidP="00227727">
      <w:pPr>
        <w:pStyle w:val="NormalWeb"/>
        <w:spacing w:before="0" w:beforeAutospacing="0" w:after="0" w:afterAutospacing="0" w:line="360" w:lineRule="auto"/>
        <w:ind w:firstLine="720"/>
        <w:jc w:val="both"/>
        <w:rPr>
          <w:rFonts w:ascii="Arial" w:hAnsi="Arial" w:cs="Arial"/>
          <w:color w:val="0E101A"/>
          <w:lang w:val="en-GB"/>
        </w:rPr>
      </w:pPr>
      <w:r w:rsidRPr="00227727">
        <w:rPr>
          <w:rFonts w:ascii="Arial" w:hAnsi="Arial" w:cs="Arial"/>
          <w:color w:val="0E101A"/>
          <w:lang w:val="en-GB"/>
        </w:rPr>
        <w:t>The study addresses RQ2 by examining how smarter working affects job satisfaction and stress. A deductive approach lets researchers test specific hypotheses about these relationships to study their nature and magnitude thoroughly. Saadeh and Suifan (2019) and Nisar and Rasheed (2019) have used surveys and deductive methods to study the impact of workplace factors on stress and satisfaction, demonstrating the suitability of this approach for studying wellbeing. The current study validates these relationships and refines our understanding of smarter working practices' dual effects on employees' psychological states by leveraging theoretical insights.</w:t>
      </w:r>
    </w:p>
    <w:p w14:paraId="2A2A1C74" w14:textId="77777777" w:rsidR="00227727" w:rsidRPr="00227727" w:rsidRDefault="00227727" w:rsidP="00227727">
      <w:pPr>
        <w:pStyle w:val="NormalWeb"/>
        <w:spacing w:before="0" w:beforeAutospacing="0" w:after="0" w:afterAutospacing="0" w:line="360" w:lineRule="auto"/>
        <w:ind w:firstLine="720"/>
        <w:jc w:val="both"/>
        <w:rPr>
          <w:rFonts w:ascii="Arial" w:hAnsi="Arial" w:cs="Arial"/>
          <w:color w:val="0E101A"/>
          <w:lang w:val="en-GB"/>
        </w:rPr>
      </w:pPr>
      <w:r w:rsidRPr="00227727">
        <w:rPr>
          <w:rFonts w:ascii="Arial" w:hAnsi="Arial" w:cs="Arial"/>
          <w:color w:val="0E101A"/>
          <w:lang w:val="en-GB"/>
        </w:rPr>
        <w:t>The deductive approach is ideal for testing the mediation and moderation models for RQ3 and RQ4, which examine the mediating role of employees’ wellbeing and the moderating role of HRM practices. Sabuhari et al. (2020) and Yasinta et al. (2024) demonstrate how structural equation modeling, a quantitative tool in deductive research, can effectively test complex relationships. The study uses hypotheses based on theories like the JD-R model and tests them to ensure its findings are grounded in prior knowledge while providing new insights. The deductive objective and replicable methods improve the reliability and validity, making it ideal for public-sector research. The deductive approach provides a structured framework for systematically answering each research question, ensuring theoretically sound and empirically sound findings.</w:t>
      </w:r>
    </w:p>
    <w:p w14:paraId="2C925B78" w14:textId="77777777" w:rsidR="00227727" w:rsidRPr="00227727" w:rsidRDefault="00227727" w:rsidP="00227727">
      <w:pPr>
        <w:pStyle w:val="Heading4"/>
        <w:rPr>
          <w:rFonts w:ascii="Arial" w:hAnsi="Arial" w:cs="Arial"/>
        </w:rPr>
      </w:pPr>
      <w:r w:rsidRPr="00227727">
        <w:rPr>
          <w:rFonts w:ascii="Arial" w:hAnsi="Arial" w:cs="Arial"/>
        </w:rPr>
        <w:t>Target Population</w:t>
      </w:r>
    </w:p>
    <w:p w14:paraId="05CBCF75"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Population refers to the entire group of individuals or entities from which a researcher seeks to draw conclusions and generalize findings (Leavy, 2022). The target population has been reduced to employees currently working within the public sector. Moreover, only the organisations of UK have been considered due to geographical constraints and the reduced scope of the research study to examine the research variables within United Kingdom (UK) only. This study targets employees of Network Rail and Transport in London. Network Rail manages the UK railway infrastructure while providing London-specific transport services. These organisations were chosen because they have </w:t>
      </w:r>
      <w:r w:rsidRPr="00227727">
        <w:rPr>
          <w:rFonts w:ascii="Arial" w:hAnsi="Arial" w:cs="Arial"/>
          <w:sz w:val="24"/>
          <w:szCs w:val="24"/>
        </w:rPr>
        <w:lastRenderedPageBreak/>
        <w:t>diverse but complementary operational structures and can shed light on smarter working practices, employee well-being, and job performance. These organisations allow the study to include perspectives from two critical sectors: public service, transport, and infrastructure, which are pioneering flexible and innovative working practices.</w:t>
      </w:r>
    </w:p>
    <w:p w14:paraId="76E26C34"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This study covers Network Rail nationwide operations and localised transport services in London. This geographical focus is necessary to understand how regional and national smarter working practices differ. TfL employees work in an urban, high-density environment, while Network Rail employees work in urban and rural areas, contrasting how location affects flexible working and HRM. The regional diversity of the two organisations ensures that the findings apply to all UK public sector organisations. This study proposes 1,000 respondents, representing 5-6% of the two organisations' workforces. Around 28,000 people work for TfL and about 42,000 for Network Rail, with one-third in HR, Finance, and Marketing. A 1,000-person sample is statistically robust for generalising findings and feasible for data collection and analysis. A 5-6% sample size meets large population study recommendations and represents diverse employee roles and perspectives. The study targets headquarters (HQ) or central function employees, who are more likely to experience the autonomy and flexibility of smarter working practices, ensuring relevance to the core objectives.</w:t>
      </w:r>
    </w:p>
    <w:p w14:paraId="675E09A3"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The study targets entry-level to middle-level managers in these organisations' central or HQ functions. TfL will study employees in pay bands 1-3, while Network Rail will study comparable bands 3 and 4. Office workers handle support services like HR, finance, and marketing more flexibly than field workers. The study narrows its scope to this population to ensure that participants are directly affected by smarter working initiatives and can provide informed insights into how they affect their wellbeing and job performance. Using central staff ensures consistency in work and organisational expectations, making it easier to analyse the relationships under investigation. This targeted approach makes the study relevant to similar public sector organisations adopting smarter working practices.</w:t>
      </w:r>
    </w:p>
    <w:p w14:paraId="1DA4B112" w14:textId="77777777" w:rsidR="00227727" w:rsidRPr="00227727" w:rsidRDefault="00227727" w:rsidP="00227727">
      <w:pPr>
        <w:pStyle w:val="Heading4"/>
        <w:rPr>
          <w:rFonts w:ascii="Arial" w:hAnsi="Arial" w:cs="Arial"/>
        </w:rPr>
      </w:pPr>
      <w:r w:rsidRPr="00227727">
        <w:rPr>
          <w:rFonts w:ascii="Arial" w:hAnsi="Arial" w:cs="Arial"/>
        </w:rPr>
        <w:t>Sampling Design</w:t>
      </w:r>
    </w:p>
    <w:p w14:paraId="5229C6DF"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Since the study covers the effect of smarter working over job performance while being mediated by employee well-being and moderated by HRM practices, the population has been reduced to include employees within public organisations. Sampling design includes:</w:t>
      </w:r>
    </w:p>
    <w:p w14:paraId="27BF2FDB" w14:textId="77777777" w:rsidR="00227727" w:rsidRPr="00227727" w:rsidRDefault="00227727" w:rsidP="00227727">
      <w:pPr>
        <w:pStyle w:val="Heading5"/>
        <w:rPr>
          <w:rFonts w:ascii="Arial" w:hAnsi="Arial" w:cs="Arial"/>
        </w:rPr>
      </w:pPr>
      <w:r w:rsidRPr="00227727">
        <w:rPr>
          <w:rFonts w:ascii="Arial" w:hAnsi="Arial" w:cs="Arial"/>
        </w:rPr>
        <w:t>Sample Size</w:t>
      </w:r>
    </w:p>
    <w:p w14:paraId="6C9BAC0A"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A large sample size as mentioned within the advantages of a quantitative study allows the data to be easily replicated or applied over the entire population </w:t>
      </w:r>
      <w:sdt>
        <w:sdtPr>
          <w:rPr>
            <w:rFonts w:ascii="Arial" w:hAnsi="Arial" w:cs="Arial"/>
            <w:sz w:val="24"/>
            <w:szCs w:val="24"/>
          </w:rPr>
          <w:id w:val="-1920557273"/>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Rah201 \l 1033 </w:instrText>
          </w:r>
          <w:r w:rsidRPr="00227727">
            <w:rPr>
              <w:rFonts w:ascii="Arial" w:hAnsi="Arial" w:cs="Arial"/>
              <w:sz w:val="24"/>
              <w:szCs w:val="24"/>
            </w:rPr>
            <w:fldChar w:fldCharType="separate"/>
          </w:r>
          <w:r w:rsidRPr="00227727">
            <w:rPr>
              <w:rFonts w:ascii="Arial" w:hAnsi="Arial" w:cs="Arial"/>
              <w:noProof/>
              <w:sz w:val="24"/>
              <w:szCs w:val="24"/>
            </w:rPr>
            <w:t>(Rahman, 2020)</w:t>
          </w:r>
          <w:r w:rsidRPr="00227727">
            <w:rPr>
              <w:rFonts w:ascii="Arial" w:hAnsi="Arial" w:cs="Arial"/>
              <w:sz w:val="24"/>
              <w:szCs w:val="24"/>
            </w:rPr>
            <w:fldChar w:fldCharType="end"/>
          </w:r>
        </w:sdtContent>
      </w:sdt>
      <w:r w:rsidRPr="00227727">
        <w:rPr>
          <w:rFonts w:ascii="Arial" w:hAnsi="Arial" w:cs="Arial"/>
          <w:sz w:val="24"/>
          <w:szCs w:val="24"/>
        </w:rPr>
        <w:t xml:space="preserve">, thus, a sample of 400 will be enough to conclude findings that are a true representation of the entire UK region. According to various scholars' recommendations, a sample size of 200-400 is widely accepted and justified for quantitative research designs, particularly structural equation modelling (SEM). According to Kline (2015), a minimum of 200 participants is typically sufficient for models of moderate complexity, ensuring reliable parameter estimation and adequate statistical power. A sample size in this range is considered robust and efficient for studies with latent variables and a simple structure. Similarly, Hair et al. (2017) suggest </w:t>
      </w:r>
      <w:r w:rsidRPr="00227727">
        <w:rPr>
          <w:rFonts w:ascii="Arial" w:hAnsi="Arial" w:cs="Arial"/>
          <w:sz w:val="24"/>
          <w:szCs w:val="24"/>
        </w:rPr>
        <w:lastRenderedPageBreak/>
        <w:t>that SEM studies can produce strong and reliable results with 15-20 observations per variable or construct, implying that a sample size of 200-400 is appropriate for models with 10-20 constructs or pathways. This ensures that the research yields meaningful and generalisable results.</w:t>
      </w:r>
    </w:p>
    <w:p w14:paraId="2B23E06A"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Bentler and Chou (1987) offer a more specific recommendation: at least five participants per parameter in SEM models. For a moderately complex model with 40-60 parameters, a sample size of 200 to 400 is sufficient to obtain reliable estimates. Furthermore, Loehlin (2004) supports this recommendation, claiming that sample sizes ranging from 150-200 balance model complexity and the ability to detect statistically significant relationships. Larger sample sizes, while desirable, are not always feasible and may not produce significantly better results if the model complexity does not require them. This range also corresponds to Tabachnick and Fidell's (2019) view that sample sizes in this range are appropriate for most multivariate analyses, including SEM, resulting in valid and reliable conclusions.</w:t>
      </w:r>
    </w:p>
    <w:p w14:paraId="1A6501D3"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According to the established criteria, a sample size of 200-400 people is appropriate for the current study, which investigates the relationships between smarter working, employee wellbeing, and job performance in public sector organisations. The study uses moderating and mediating variables, necessitating enough observations to detect these effects without inflating Type I or Type II errors. A sample size of 200-400 is sufficient to perform subgroup analyses, account for data variances, and ensure reliable model fitness indices. This range not only meets the minimum thresholds recommended by scholars but also considers practical constraints such as respondent accessibility and data collection time, which are particularly important in large organisations like TfL and Network Rail. By following these scholarly recommendations, the study ensures methodological rigor while remaining feasible.</w:t>
      </w:r>
    </w:p>
    <w:p w14:paraId="3003C1C9" w14:textId="77777777" w:rsidR="00227727" w:rsidRPr="00227727" w:rsidRDefault="00227727" w:rsidP="00227727">
      <w:pPr>
        <w:pStyle w:val="Heading5"/>
        <w:rPr>
          <w:rFonts w:ascii="Arial" w:hAnsi="Arial" w:cs="Arial"/>
        </w:rPr>
      </w:pPr>
      <w:r w:rsidRPr="00227727">
        <w:rPr>
          <w:rFonts w:ascii="Arial" w:hAnsi="Arial" w:cs="Arial"/>
        </w:rPr>
        <w:t>Sampling Technique</w:t>
      </w:r>
    </w:p>
    <w:p w14:paraId="1B2E1676"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A non-probability, a purposive sampling technique has been proposed for this research study to form the sample. This sampling technique allows the researcher to choose relevant participants within the study enabling the study to conclude relevant and significant findings. Thus, sample will be formed through the reference of respondent employees in order to easily find employees from organisations that have introduced smarter working conditions. It is a very cost-effective method since a lot of time is usually wasted in gathering and finding an appropriate sample (</w:t>
      </w:r>
      <w:r w:rsidRPr="00227727">
        <w:rPr>
          <w:rFonts w:ascii="Arial" w:hAnsi="Arial" w:cs="Arial"/>
          <w:color w:val="222222"/>
          <w:sz w:val="24"/>
          <w:szCs w:val="20"/>
          <w:shd w:val="clear" w:color="auto" w:fill="FFFFFF"/>
        </w:rPr>
        <w:t>Etikan et al., 2016</w:t>
      </w:r>
      <w:r w:rsidRPr="00227727">
        <w:rPr>
          <w:rFonts w:ascii="Arial" w:hAnsi="Arial" w:cs="Arial"/>
          <w:sz w:val="24"/>
          <w:szCs w:val="24"/>
        </w:rPr>
        <w:t xml:space="preserve">). Even the rarer of populations can easily be included within the study since respondents are gathered through the reference of initial respondents. However, since the sample is formed through referrals the study might include bias, limiting the results towards the population out of which the sample has been formed </w:t>
      </w:r>
      <w:sdt>
        <w:sdtPr>
          <w:rPr>
            <w:rFonts w:ascii="Arial" w:hAnsi="Arial" w:cs="Arial"/>
            <w:sz w:val="24"/>
            <w:szCs w:val="24"/>
          </w:rPr>
          <w:id w:val="-249036492"/>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Ach133 \l 1033 </w:instrText>
          </w:r>
          <w:r w:rsidRPr="00227727">
            <w:rPr>
              <w:rFonts w:ascii="Arial" w:hAnsi="Arial" w:cs="Arial"/>
              <w:sz w:val="24"/>
              <w:szCs w:val="24"/>
            </w:rPr>
            <w:fldChar w:fldCharType="separate"/>
          </w:r>
          <w:r w:rsidRPr="00227727">
            <w:rPr>
              <w:rFonts w:ascii="Arial" w:hAnsi="Arial" w:cs="Arial"/>
              <w:noProof/>
              <w:sz w:val="24"/>
              <w:szCs w:val="24"/>
            </w:rPr>
            <w:t>(Acharya, Prakash, Saxena, &amp; Nigam, 2013)</w:t>
          </w:r>
          <w:r w:rsidRPr="00227727">
            <w:rPr>
              <w:rFonts w:ascii="Arial" w:hAnsi="Arial" w:cs="Arial"/>
              <w:sz w:val="24"/>
              <w:szCs w:val="24"/>
            </w:rPr>
            <w:fldChar w:fldCharType="end"/>
          </w:r>
        </w:sdtContent>
      </w:sdt>
      <w:r w:rsidRPr="00227727">
        <w:rPr>
          <w:rFonts w:ascii="Arial" w:hAnsi="Arial" w:cs="Arial"/>
          <w:sz w:val="24"/>
          <w:szCs w:val="24"/>
        </w:rPr>
        <w:t>.</w:t>
      </w:r>
    </w:p>
    <w:p w14:paraId="5220698F"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 xml:space="preserve"> </w:t>
      </w:r>
      <w:r w:rsidRPr="00227727">
        <w:rPr>
          <w:rFonts w:ascii="Arial" w:hAnsi="Arial" w:cs="Arial"/>
          <w:sz w:val="24"/>
          <w:szCs w:val="24"/>
        </w:rPr>
        <w:tab/>
        <w:t xml:space="preserve">Purposive sampling is a common non-probability sampling method in quantitative research, especially when target population characteristics are crucial to answering research questions. This method lets researchers carefully select participants who meet predefined criteria, ensuring that the data collected is relevant to the objectives. Previous studies, such as Pradhan and Hati (2019), used purposive sampling to study employee well-being by targeting 316 relevant employees. The impact of </w:t>
      </w:r>
      <w:r w:rsidRPr="00227727">
        <w:rPr>
          <w:rFonts w:ascii="Arial" w:hAnsi="Arial" w:cs="Arial"/>
          <w:sz w:val="24"/>
          <w:szCs w:val="24"/>
        </w:rPr>
        <w:lastRenderedPageBreak/>
        <w:t>human resource flexibility on employee performance was studied by Sabuhari et al. (2020) using purposive sampling on 105 employees with direct HR exposure. Purposive sampling improves quantitative research by selecting participants most likely to provide meaningful data.</w:t>
      </w:r>
    </w:p>
    <w:p w14:paraId="407E71BC"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This study uses purposive sampling to select Network Rail and Transport for London (TfL) employees in central functions like HR, Finance, and Marketing. Alnoor et al. (2022) used purposive sampling to collect data from 260 employees with unique job roles that met their study objectives. In addition, Xie et al. (2023) used purposive sampling to target respondents with specific technology adoption exposure, proving the method's relevance to the research questions. This study uses purposive sampling to ensure that participants are well-positioned to discuss how smarter working practises affect wellbeing and job performance, particularly in roles that require autonomy and flexibility. This targeted approach improves the actionable and context-specific findings.</w:t>
      </w:r>
    </w:p>
    <w:p w14:paraId="4DDE0A85" w14:textId="77777777" w:rsidR="00227727" w:rsidRPr="00227727" w:rsidRDefault="00227727" w:rsidP="00227727">
      <w:pPr>
        <w:pStyle w:val="Heading4"/>
        <w:rPr>
          <w:rFonts w:ascii="Arial" w:hAnsi="Arial" w:cs="Arial"/>
        </w:rPr>
      </w:pPr>
      <w:r w:rsidRPr="00227727">
        <w:rPr>
          <w:rFonts w:ascii="Arial" w:hAnsi="Arial" w:cs="Arial"/>
        </w:rPr>
        <w:t>Survey Questionnaire</w:t>
      </w:r>
    </w:p>
    <w:p w14:paraId="5A466642"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Survey questionnaires are widely used and effective in quantitative research, especially for studies on smarter working, employee wellbeing, and job performance (see Appendix). Researchers can efficiently collect standardised data from a large population using surveys to analyse patterns and relationships across diverse respondents. For instance, Rainero and Modarelli (2020) used standardised surveys to collect comparable data on technology acceptance from 206 teachers. Similarly, Hassan et al. (2020) employed a cross-sectional survey to investigate job satisfaction, stress, and motivation among 360 participants. This demonstrates how surveys provide a structured mechanism for collecting data on multiple constructs in a single study. To ensure objective and generalisable results, surveys can quantify key variables, which fits the positivist paradigm of this study.</w:t>
      </w:r>
    </w:p>
    <w:p w14:paraId="59CDD8ED"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For this study, survey questionnaires are ideal for Network Rail and Transport for London employees. This method systematically measures variables like smarter working practices, wellbeing (e.g., job satisfaction and stress), and job performance across a large sample size covering the target population. Sabuhari et al. (2020) and Johari et al. (2021) used survey questionnaires to examine HRM practices, job characteristics, and work engagement, demonstrating the effectiveness of this method in capturing workplace perceptions and behaviours. A survey questionnaire allows this study to efficiently collect quantitative data from public sector central function employees for robust analysis using statistical methods like SEM. Surveys are standardised to ensure data consistency and allow for validated scales and measures, improving reliability and validity.</w:t>
      </w:r>
    </w:p>
    <w:p w14:paraId="4907EBF7" w14:textId="77777777" w:rsidR="00227727" w:rsidRPr="00227727" w:rsidRDefault="00227727" w:rsidP="00227727">
      <w:pPr>
        <w:spacing w:after="0" w:line="360" w:lineRule="auto"/>
        <w:ind w:firstLine="720"/>
        <w:jc w:val="both"/>
        <w:rPr>
          <w:rFonts w:ascii="Arial" w:hAnsi="Arial" w:cs="Arial"/>
          <w:sz w:val="24"/>
          <w:szCs w:val="24"/>
        </w:rPr>
      </w:pPr>
      <w:r w:rsidRPr="00227727">
        <w:rPr>
          <w:rFonts w:ascii="Arial" w:hAnsi="Arial" w:cs="Arial"/>
          <w:sz w:val="24"/>
          <w:szCs w:val="24"/>
        </w:rPr>
        <w:t xml:space="preserve">A questionnaire would be used measuring variables including smarter working, employee wellbeing; stress and job satisfaction, job performance and HRM practices, through the survey method. The questionnaire would be structured providing specific options to be answered by the employees in order to reduce any misunderstandings that may occur. It also helps in analysing the data easily after computation meanwhile reducing interviewer bias as well since the questionnaires can be easily self-administered and do not require any intervention from the side. Even respondents are willing to participate in surveys that are quick and not time consuming </w:t>
      </w:r>
      <w:sdt>
        <w:sdtPr>
          <w:rPr>
            <w:rFonts w:ascii="Arial" w:hAnsi="Arial" w:cs="Arial"/>
            <w:sz w:val="24"/>
            <w:szCs w:val="24"/>
          </w:rPr>
          <w:id w:val="890002539"/>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Mal06 \l 1033 </w:instrText>
          </w:r>
          <w:r w:rsidRPr="00227727">
            <w:rPr>
              <w:rFonts w:ascii="Arial" w:hAnsi="Arial" w:cs="Arial"/>
              <w:sz w:val="24"/>
              <w:szCs w:val="24"/>
            </w:rPr>
            <w:fldChar w:fldCharType="separate"/>
          </w:r>
          <w:r w:rsidRPr="00227727">
            <w:rPr>
              <w:rFonts w:ascii="Arial" w:hAnsi="Arial" w:cs="Arial"/>
              <w:noProof/>
              <w:sz w:val="24"/>
              <w:szCs w:val="24"/>
            </w:rPr>
            <w:t>(Malhotra, 2006)</w:t>
          </w:r>
          <w:r w:rsidRPr="00227727">
            <w:rPr>
              <w:rFonts w:ascii="Arial" w:hAnsi="Arial" w:cs="Arial"/>
              <w:sz w:val="24"/>
              <w:szCs w:val="24"/>
            </w:rPr>
            <w:fldChar w:fldCharType="end"/>
          </w:r>
        </w:sdtContent>
      </w:sdt>
      <w:r w:rsidRPr="00227727">
        <w:rPr>
          <w:rFonts w:ascii="Arial" w:hAnsi="Arial" w:cs="Arial"/>
          <w:sz w:val="24"/>
          <w:szCs w:val="24"/>
        </w:rPr>
        <w:t xml:space="preserve">. </w:t>
      </w:r>
    </w:p>
    <w:p w14:paraId="4FF443D6"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lastRenderedPageBreak/>
        <w:t xml:space="preserve">In this case, the study will include a 5-likert scale ranging from strongly disagree to strongly agree which will score the measure of the variables covered within the questionnaire.  The scale helps in measuring the agreement of each individual with the statements provided within the questionnaire. This scale in return has various advantages that may aid the research including being easier for the researcher to analyse and for the respondents to understand. It simplifies the questionnaire to an extent that the sample can easily administer the questionnaire on their own, allowing the medium to be even by telephone or an online medium </w:t>
      </w:r>
      <w:sdt>
        <w:sdtPr>
          <w:rPr>
            <w:rFonts w:ascii="Arial" w:hAnsi="Arial" w:cs="Arial"/>
            <w:sz w:val="24"/>
            <w:szCs w:val="24"/>
          </w:rPr>
          <w:id w:val="-998656636"/>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Mal06 \l 1033 </w:instrText>
          </w:r>
          <w:r w:rsidRPr="00227727">
            <w:rPr>
              <w:rFonts w:ascii="Arial" w:hAnsi="Arial" w:cs="Arial"/>
              <w:sz w:val="24"/>
              <w:szCs w:val="24"/>
            </w:rPr>
            <w:fldChar w:fldCharType="separate"/>
          </w:r>
          <w:r w:rsidRPr="00227727">
            <w:rPr>
              <w:rFonts w:ascii="Arial" w:hAnsi="Arial" w:cs="Arial"/>
              <w:noProof/>
              <w:sz w:val="24"/>
              <w:szCs w:val="24"/>
            </w:rPr>
            <w:t>(Malhotra, 2006)</w:t>
          </w:r>
          <w:r w:rsidRPr="00227727">
            <w:rPr>
              <w:rFonts w:ascii="Arial" w:hAnsi="Arial" w:cs="Arial"/>
              <w:sz w:val="24"/>
              <w:szCs w:val="24"/>
            </w:rPr>
            <w:fldChar w:fldCharType="end"/>
          </w:r>
        </w:sdtContent>
      </w:sdt>
      <w:r w:rsidRPr="00227727">
        <w:rPr>
          <w:rFonts w:ascii="Arial" w:hAnsi="Arial" w:cs="Arial"/>
          <w:sz w:val="24"/>
          <w:szCs w:val="24"/>
        </w:rPr>
        <w:t xml:space="preserve">. </w:t>
      </w:r>
    </w:p>
    <w:p w14:paraId="68DB522A" w14:textId="77777777" w:rsidR="00227727" w:rsidRPr="00227727" w:rsidRDefault="00227727" w:rsidP="00227727">
      <w:pPr>
        <w:pStyle w:val="Heading3"/>
        <w:rPr>
          <w:rFonts w:ascii="Arial" w:hAnsi="Arial" w:cs="Arial"/>
        </w:rPr>
      </w:pPr>
      <w:r w:rsidRPr="00227727">
        <w:rPr>
          <w:rFonts w:ascii="Arial" w:hAnsi="Arial" w:cs="Arial"/>
        </w:rPr>
        <w:t>Variables measured</w:t>
      </w:r>
    </w:p>
    <w:p w14:paraId="40EC04E7" w14:textId="77777777" w:rsidR="00227727" w:rsidRPr="00227727" w:rsidRDefault="00227727" w:rsidP="00227727">
      <w:pPr>
        <w:spacing w:after="0" w:line="360" w:lineRule="auto"/>
        <w:jc w:val="both"/>
        <w:rPr>
          <w:rFonts w:ascii="Arial" w:hAnsi="Arial" w:cs="Arial"/>
          <w:sz w:val="24"/>
          <w:szCs w:val="24"/>
        </w:rPr>
      </w:pPr>
      <w:r w:rsidRPr="00227727">
        <w:rPr>
          <w:rFonts w:ascii="Arial" w:hAnsi="Arial" w:cs="Arial"/>
          <w:sz w:val="24"/>
          <w:szCs w:val="24"/>
        </w:rPr>
        <w:t>All survey items are included within the instrument for each variable being measured since reliability tests such as Cronbach Alpha can only be carried out over two items or more significantly. Thus, a total of 91 questions would be present in the questionnaire in relation to the objective of the study along with demographics related questions. All measurement items have higher factor loadings (&gt;0.70) and Cronbach alpha (&gt;0.70) that meet the criteria of validated and reliable scales (Hair et al., 2017).</w:t>
      </w:r>
    </w:p>
    <w:p w14:paraId="3984DE1F"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In social sciences research, a 5-point Likert scale is one of the most widely used methods for measuring attitudes, perceptions, and behaviours (Boone &amp; Boone, 2012; Joshi et al., 2015). Likert scales are a simple but effective way to measure respondents' agreement or disagreement with statements, revealing their experiences and opinions (Likert, 1932). Larger scales can fatigue or mislead respondents, but a 5-point scale can capture variability (Joshi et al., 2015). Hair et al. (2017) and Boone and Boone (2012) also note that 5-point scales improve response rates and reliability by providing clear, interpretable choices. This scale produces continuous data that meet advanced statistical analysis assumptions, making it ideal for Structural Equation Modelling (SEM) studies. This study maintains methodological rigour, consistency, and data comparability by adapting validated scales from previous research and using the 5-point Likert format. Each variable within the questionnaire has been mentioned as below.</w:t>
      </w:r>
    </w:p>
    <w:p w14:paraId="394A1AB0" w14:textId="77777777" w:rsidR="00227727" w:rsidRPr="00227727" w:rsidRDefault="00227727" w:rsidP="00227727">
      <w:pPr>
        <w:pStyle w:val="Heading4"/>
        <w:rPr>
          <w:rFonts w:ascii="Arial" w:hAnsi="Arial" w:cs="Arial"/>
        </w:rPr>
      </w:pPr>
      <w:r w:rsidRPr="00227727">
        <w:rPr>
          <w:rFonts w:ascii="Arial" w:hAnsi="Arial" w:cs="Arial"/>
        </w:rPr>
        <w:t>Smarter Working</w:t>
      </w:r>
    </w:p>
    <w:p w14:paraId="6AEE9A17"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Smarter Working is currently in its nascent stage, whereas High involvement processes are continuously associated with smarter working conditions within the private sector, therefore, scales used to measure such processes will also be utilised within this study to measure smarter working </w:t>
      </w:r>
      <w:sdt>
        <w:sdtPr>
          <w:rPr>
            <w:rFonts w:ascii="Arial" w:hAnsi="Arial" w:cs="Arial"/>
            <w:sz w:val="24"/>
            <w:szCs w:val="24"/>
          </w:rPr>
          <w:id w:val="-1818485526"/>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Mac08 \l 1033 </w:instrText>
          </w:r>
          <w:r w:rsidRPr="00227727">
            <w:rPr>
              <w:rFonts w:ascii="Arial" w:hAnsi="Arial" w:cs="Arial"/>
              <w:sz w:val="24"/>
              <w:szCs w:val="24"/>
            </w:rPr>
            <w:fldChar w:fldCharType="separate"/>
          </w:r>
          <w:r w:rsidRPr="00227727">
            <w:rPr>
              <w:rFonts w:ascii="Arial" w:hAnsi="Arial" w:cs="Arial"/>
              <w:noProof/>
              <w:sz w:val="24"/>
              <w:szCs w:val="24"/>
            </w:rPr>
            <w:t>(Macky &amp; Boxall, 2008)</w:t>
          </w:r>
          <w:r w:rsidRPr="00227727">
            <w:rPr>
              <w:rFonts w:ascii="Arial" w:hAnsi="Arial" w:cs="Arial"/>
              <w:sz w:val="24"/>
              <w:szCs w:val="24"/>
            </w:rPr>
            <w:fldChar w:fldCharType="end"/>
          </w:r>
        </w:sdtContent>
      </w:sdt>
      <w:r w:rsidRPr="00227727">
        <w:rPr>
          <w:rFonts w:ascii="Arial" w:hAnsi="Arial" w:cs="Arial"/>
          <w:sz w:val="24"/>
          <w:szCs w:val="24"/>
        </w:rPr>
        <w:t xml:space="preserve">. This includes the scale introduced by Vandenberg, Richardson and Eastman </w:t>
      </w:r>
      <w:sdt>
        <w:sdtPr>
          <w:rPr>
            <w:rFonts w:ascii="Arial" w:hAnsi="Arial" w:cs="Arial"/>
            <w:sz w:val="24"/>
            <w:szCs w:val="24"/>
          </w:rPr>
          <w:id w:val="-446001250"/>
          <w:citation/>
        </w:sdtPr>
        <w:sdtContent>
          <w:r w:rsidRPr="00227727">
            <w:rPr>
              <w:rFonts w:ascii="Arial" w:hAnsi="Arial" w:cs="Arial"/>
              <w:sz w:val="24"/>
              <w:szCs w:val="24"/>
            </w:rPr>
            <w:fldChar w:fldCharType="begin"/>
          </w:r>
          <w:r w:rsidRPr="00227727">
            <w:rPr>
              <w:rFonts w:ascii="Arial" w:hAnsi="Arial" w:cs="Arial"/>
              <w:sz w:val="24"/>
              <w:szCs w:val="24"/>
            </w:rPr>
            <w:instrText xml:space="preserve">CITATION Van99 \n  \t  \l 1033 </w:instrText>
          </w:r>
          <w:r w:rsidRPr="00227727">
            <w:rPr>
              <w:rFonts w:ascii="Arial" w:hAnsi="Arial" w:cs="Arial"/>
              <w:sz w:val="24"/>
              <w:szCs w:val="24"/>
            </w:rPr>
            <w:fldChar w:fldCharType="separate"/>
          </w:r>
          <w:r w:rsidRPr="00227727">
            <w:rPr>
              <w:rFonts w:ascii="Arial" w:hAnsi="Arial" w:cs="Arial"/>
              <w:noProof/>
              <w:sz w:val="24"/>
              <w:szCs w:val="24"/>
            </w:rPr>
            <w:t>(1999)</w:t>
          </w:r>
          <w:r w:rsidRPr="00227727">
            <w:rPr>
              <w:rFonts w:ascii="Arial" w:hAnsi="Arial" w:cs="Arial"/>
              <w:sz w:val="24"/>
              <w:szCs w:val="24"/>
            </w:rPr>
            <w:fldChar w:fldCharType="end"/>
          </w:r>
        </w:sdtContent>
      </w:sdt>
      <w:r w:rsidRPr="00227727">
        <w:rPr>
          <w:rFonts w:ascii="Arial" w:hAnsi="Arial" w:cs="Arial"/>
          <w:sz w:val="24"/>
          <w:szCs w:val="24"/>
        </w:rPr>
        <w:t xml:space="preserve"> comprising of 35 items which measure power, information, rewards and knowledge. However, 6 items of this scale are utilised to measure smarter working from the study of </w:t>
      </w:r>
      <w:r w:rsidRPr="00227727">
        <w:rPr>
          <w:rFonts w:ascii="Arial" w:hAnsi="Arial" w:cs="Arial"/>
          <w:color w:val="222222"/>
          <w:sz w:val="24"/>
          <w:szCs w:val="24"/>
          <w:shd w:val="clear" w:color="auto" w:fill="FFFFFF"/>
        </w:rPr>
        <w:t>Rainero and Modarelli (2020)</w:t>
      </w:r>
      <w:r w:rsidRPr="00227727">
        <w:rPr>
          <w:rFonts w:ascii="Arial" w:hAnsi="Arial" w:cs="Arial"/>
          <w:sz w:val="24"/>
          <w:szCs w:val="24"/>
        </w:rPr>
        <w:t>. These survey items will be measured on 5-Points Likert scales.</w:t>
      </w:r>
    </w:p>
    <w:p w14:paraId="5E9A617C" w14:textId="77777777" w:rsidR="00227727" w:rsidRPr="00227727" w:rsidRDefault="00227727" w:rsidP="00227727">
      <w:pPr>
        <w:pStyle w:val="ListParagraph"/>
        <w:numPr>
          <w:ilvl w:val="0"/>
          <w:numId w:val="1"/>
        </w:numPr>
        <w:spacing w:line="360" w:lineRule="auto"/>
        <w:jc w:val="both"/>
        <w:rPr>
          <w:rFonts w:ascii="Arial" w:hAnsi="Arial" w:cs="Arial"/>
        </w:rPr>
      </w:pPr>
      <w:r w:rsidRPr="00227727">
        <w:rPr>
          <w:rFonts w:ascii="Arial" w:hAnsi="Arial" w:cs="Arial"/>
        </w:rPr>
        <w:t>I enjoy a degree of flexibility surrounding how, where and when I perform my work.</w:t>
      </w:r>
    </w:p>
    <w:p w14:paraId="639AB8EC" w14:textId="77777777" w:rsidR="00227727" w:rsidRPr="00227727" w:rsidRDefault="00227727" w:rsidP="00227727">
      <w:pPr>
        <w:pStyle w:val="ListParagraph"/>
        <w:numPr>
          <w:ilvl w:val="0"/>
          <w:numId w:val="1"/>
        </w:numPr>
        <w:spacing w:line="360" w:lineRule="auto"/>
        <w:jc w:val="both"/>
        <w:rPr>
          <w:rFonts w:ascii="Arial" w:hAnsi="Arial" w:cs="Arial"/>
        </w:rPr>
      </w:pPr>
      <w:r w:rsidRPr="00227727">
        <w:rPr>
          <w:rFonts w:ascii="Arial" w:hAnsi="Arial" w:cs="Arial"/>
        </w:rPr>
        <w:t>I believe flexibility surrounding how, where and when to work increases performance at work.</w:t>
      </w:r>
    </w:p>
    <w:p w14:paraId="41B51EA2" w14:textId="77777777" w:rsidR="00227727" w:rsidRPr="00227727" w:rsidRDefault="00227727" w:rsidP="00227727">
      <w:pPr>
        <w:pStyle w:val="ListParagraph"/>
        <w:numPr>
          <w:ilvl w:val="0"/>
          <w:numId w:val="1"/>
        </w:numPr>
        <w:spacing w:line="360" w:lineRule="auto"/>
        <w:jc w:val="both"/>
        <w:rPr>
          <w:rFonts w:ascii="Arial" w:hAnsi="Arial" w:cs="Arial"/>
        </w:rPr>
      </w:pPr>
      <w:r w:rsidRPr="00227727">
        <w:rPr>
          <w:rFonts w:ascii="Arial" w:hAnsi="Arial" w:cs="Arial"/>
        </w:rPr>
        <w:t>I believe smart working practices result in significant cost savings for both employers and employees.</w:t>
      </w:r>
    </w:p>
    <w:p w14:paraId="5C651214" w14:textId="77777777" w:rsidR="00227727" w:rsidRPr="00227727" w:rsidRDefault="00227727" w:rsidP="00227727">
      <w:pPr>
        <w:pStyle w:val="ListParagraph"/>
        <w:numPr>
          <w:ilvl w:val="0"/>
          <w:numId w:val="1"/>
        </w:numPr>
        <w:spacing w:line="360" w:lineRule="auto"/>
        <w:jc w:val="both"/>
        <w:rPr>
          <w:rFonts w:ascii="Arial" w:hAnsi="Arial" w:cs="Arial"/>
        </w:rPr>
      </w:pPr>
      <w:r w:rsidRPr="00227727">
        <w:rPr>
          <w:rFonts w:ascii="Arial" w:hAnsi="Arial" w:cs="Arial"/>
        </w:rPr>
        <w:lastRenderedPageBreak/>
        <w:t>I believe that smart working offers a valid alternative to fixed office work.</w:t>
      </w:r>
    </w:p>
    <w:p w14:paraId="2C737251" w14:textId="77777777" w:rsidR="00227727" w:rsidRPr="00227727" w:rsidRDefault="00227727" w:rsidP="00227727">
      <w:pPr>
        <w:pStyle w:val="ListParagraph"/>
        <w:numPr>
          <w:ilvl w:val="0"/>
          <w:numId w:val="1"/>
        </w:numPr>
        <w:spacing w:line="360" w:lineRule="auto"/>
        <w:jc w:val="both"/>
        <w:rPr>
          <w:rFonts w:ascii="Arial" w:hAnsi="Arial" w:cs="Arial"/>
        </w:rPr>
      </w:pPr>
      <w:r w:rsidRPr="00227727">
        <w:rPr>
          <w:rFonts w:ascii="Arial" w:hAnsi="Arial" w:cs="Arial"/>
        </w:rPr>
        <w:t>I believe offering smart working practices makes the organisation more productive.</w:t>
      </w:r>
    </w:p>
    <w:p w14:paraId="63F55A3A" w14:textId="77777777" w:rsidR="00227727" w:rsidRPr="00227727" w:rsidRDefault="00227727" w:rsidP="00227727">
      <w:pPr>
        <w:pStyle w:val="ListParagraph"/>
        <w:numPr>
          <w:ilvl w:val="0"/>
          <w:numId w:val="1"/>
        </w:numPr>
        <w:spacing w:line="360" w:lineRule="auto"/>
        <w:jc w:val="both"/>
        <w:rPr>
          <w:rFonts w:ascii="Arial" w:hAnsi="Arial" w:cs="Arial"/>
        </w:rPr>
      </w:pPr>
      <w:r w:rsidRPr="00227727">
        <w:rPr>
          <w:rFonts w:ascii="Arial" w:hAnsi="Arial" w:cs="Arial"/>
        </w:rPr>
        <w:t xml:space="preserve">I believe that the smart-working practices implemented is a choice born by necessity and urgency.  </w:t>
      </w:r>
    </w:p>
    <w:p w14:paraId="569343E0" w14:textId="77777777" w:rsidR="00227727" w:rsidRPr="00227727" w:rsidRDefault="00227727" w:rsidP="00227727">
      <w:pPr>
        <w:pStyle w:val="Heading4"/>
        <w:rPr>
          <w:rFonts w:ascii="Arial" w:hAnsi="Arial" w:cs="Arial"/>
        </w:rPr>
      </w:pPr>
      <w:r w:rsidRPr="00227727">
        <w:rPr>
          <w:rFonts w:ascii="Arial" w:hAnsi="Arial" w:cs="Arial"/>
        </w:rPr>
        <w:t>Employee Well-being; Stress and Job Satisfaction</w:t>
      </w:r>
    </w:p>
    <w:p w14:paraId="6A9FDC49"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Employee well-being is being measured through two metrics within this research study namely stress and job satisfaction. Workplace stress has for long been measured through a number of scales including Perceived Stress Scale created by Cohen </w:t>
      </w:r>
      <w:sdt>
        <w:sdtPr>
          <w:rPr>
            <w:rFonts w:ascii="Arial" w:hAnsi="Arial" w:cs="Arial"/>
            <w:sz w:val="24"/>
            <w:szCs w:val="24"/>
          </w:rPr>
          <w:id w:val="703905979"/>
          <w:citation/>
        </w:sdtPr>
        <w:sdtContent>
          <w:r w:rsidRPr="00227727">
            <w:rPr>
              <w:rFonts w:ascii="Arial" w:hAnsi="Arial" w:cs="Arial"/>
              <w:sz w:val="24"/>
              <w:szCs w:val="24"/>
            </w:rPr>
            <w:fldChar w:fldCharType="begin"/>
          </w:r>
          <w:r w:rsidRPr="00227727">
            <w:rPr>
              <w:rFonts w:ascii="Arial" w:hAnsi="Arial" w:cs="Arial"/>
              <w:sz w:val="24"/>
              <w:szCs w:val="24"/>
            </w:rPr>
            <w:instrText xml:space="preserve">CITATION Coh88 \n  \t  \l 1033 </w:instrText>
          </w:r>
          <w:r w:rsidRPr="00227727">
            <w:rPr>
              <w:rFonts w:ascii="Arial" w:hAnsi="Arial" w:cs="Arial"/>
              <w:sz w:val="24"/>
              <w:szCs w:val="24"/>
            </w:rPr>
            <w:fldChar w:fldCharType="separate"/>
          </w:r>
          <w:r w:rsidRPr="00227727">
            <w:rPr>
              <w:rFonts w:ascii="Arial" w:hAnsi="Arial" w:cs="Arial"/>
              <w:noProof/>
              <w:sz w:val="24"/>
              <w:szCs w:val="24"/>
            </w:rPr>
            <w:t>(1988)</w:t>
          </w:r>
          <w:r w:rsidRPr="00227727">
            <w:rPr>
              <w:rFonts w:ascii="Arial" w:hAnsi="Arial" w:cs="Arial"/>
              <w:sz w:val="24"/>
              <w:szCs w:val="24"/>
            </w:rPr>
            <w:fldChar w:fldCharType="end"/>
          </w:r>
        </w:sdtContent>
      </w:sdt>
      <w:r w:rsidRPr="00227727">
        <w:rPr>
          <w:rFonts w:ascii="Arial" w:hAnsi="Arial" w:cs="Arial"/>
          <w:sz w:val="24"/>
          <w:szCs w:val="24"/>
        </w:rPr>
        <w:t xml:space="preserve"> and the Work Stress Questionnaire created by Holmgren et al. </w:t>
      </w:r>
      <w:sdt>
        <w:sdtPr>
          <w:rPr>
            <w:rFonts w:ascii="Arial" w:hAnsi="Arial" w:cs="Arial"/>
            <w:sz w:val="24"/>
            <w:szCs w:val="24"/>
          </w:rPr>
          <w:id w:val="-264929515"/>
          <w:citation/>
        </w:sdtPr>
        <w:sdtContent>
          <w:r w:rsidRPr="00227727">
            <w:rPr>
              <w:rFonts w:ascii="Arial" w:hAnsi="Arial" w:cs="Arial"/>
              <w:sz w:val="24"/>
              <w:szCs w:val="24"/>
            </w:rPr>
            <w:fldChar w:fldCharType="begin"/>
          </w:r>
          <w:r w:rsidRPr="00227727">
            <w:rPr>
              <w:rFonts w:ascii="Arial" w:hAnsi="Arial" w:cs="Arial"/>
              <w:sz w:val="24"/>
              <w:szCs w:val="24"/>
            </w:rPr>
            <w:instrText xml:space="preserve">CITATION Hol09 \n  \t  \l 1033 </w:instrText>
          </w:r>
          <w:r w:rsidRPr="00227727">
            <w:rPr>
              <w:rFonts w:ascii="Arial" w:hAnsi="Arial" w:cs="Arial"/>
              <w:sz w:val="24"/>
              <w:szCs w:val="24"/>
            </w:rPr>
            <w:fldChar w:fldCharType="separate"/>
          </w:r>
          <w:r w:rsidRPr="00227727">
            <w:rPr>
              <w:rFonts w:ascii="Arial" w:hAnsi="Arial" w:cs="Arial"/>
              <w:noProof/>
              <w:sz w:val="24"/>
              <w:szCs w:val="24"/>
            </w:rPr>
            <w:t>(2009)</w:t>
          </w:r>
          <w:r w:rsidRPr="00227727">
            <w:rPr>
              <w:rFonts w:ascii="Arial" w:hAnsi="Arial" w:cs="Arial"/>
              <w:sz w:val="24"/>
              <w:szCs w:val="24"/>
            </w:rPr>
            <w:fldChar w:fldCharType="end"/>
          </w:r>
        </w:sdtContent>
      </w:sdt>
      <w:r w:rsidRPr="00227727">
        <w:rPr>
          <w:rFonts w:ascii="Arial" w:hAnsi="Arial" w:cs="Arial"/>
          <w:sz w:val="24"/>
          <w:szCs w:val="24"/>
        </w:rPr>
        <w:t xml:space="preserve">. Therefore, this study adapted 11 items of stress from the study of Holmgren et al. </w:t>
      </w:r>
      <w:sdt>
        <w:sdtPr>
          <w:rPr>
            <w:rFonts w:ascii="Arial" w:hAnsi="Arial" w:cs="Arial"/>
            <w:sz w:val="24"/>
            <w:szCs w:val="24"/>
          </w:rPr>
          <w:id w:val="-582679705"/>
          <w:citation/>
        </w:sdtPr>
        <w:sdtContent>
          <w:r w:rsidRPr="00227727">
            <w:rPr>
              <w:rFonts w:ascii="Arial" w:hAnsi="Arial" w:cs="Arial"/>
              <w:sz w:val="24"/>
              <w:szCs w:val="24"/>
            </w:rPr>
            <w:fldChar w:fldCharType="begin"/>
          </w:r>
          <w:r w:rsidRPr="00227727">
            <w:rPr>
              <w:rFonts w:ascii="Arial" w:hAnsi="Arial" w:cs="Arial"/>
              <w:sz w:val="24"/>
              <w:szCs w:val="24"/>
            </w:rPr>
            <w:instrText xml:space="preserve">CITATION Hol09 \n  \t  \l 1033 </w:instrText>
          </w:r>
          <w:r w:rsidRPr="00227727">
            <w:rPr>
              <w:rFonts w:ascii="Arial" w:hAnsi="Arial" w:cs="Arial"/>
              <w:sz w:val="24"/>
              <w:szCs w:val="24"/>
            </w:rPr>
            <w:fldChar w:fldCharType="separate"/>
          </w:r>
          <w:r w:rsidRPr="00227727">
            <w:rPr>
              <w:rFonts w:ascii="Arial" w:hAnsi="Arial" w:cs="Arial"/>
              <w:noProof/>
              <w:sz w:val="24"/>
              <w:szCs w:val="24"/>
            </w:rPr>
            <w:t>(2009)</w:t>
          </w:r>
          <w:r w:rsidRPr="00227727">
            <w:rPr>
              <w:rFonts w:ascii="Arial" w:hAnsi="Arial" w:cs="Arial"/>
              <w:sz w:val="24"/>
              <w:szCs w:val="24"/>
            </w:rPr>
            <w:fldChar w:fldCharType="end"/>
          </w:r>
        </w:sdtContent>
      </w:sdt>
      <w:r w:rsidRPr="00227727">
        <w:rPr>
          <w:rFonts w:ascii="Arial" w:hAnsi="Arial" w:cs="Arial"/>
          <w:sz w:val="24"/>
          <w:szCs w:val="24"/>
        </w:rPr>
        <w:t xml:space="preserve">. The former scale measured stress based on the unpredictability of an individual’s life whereas the latter focused more over analysing the demands of the workspace. The perceived stress scale is one of the most commonly used scales; however, it was created in the year 1988, being less relevant today. In comparison, the work stress questionnaire directly measures the stress received by employees through their job roles therefore, this study will adopt statements from the work stress questionnaire within the study to measure stress. It was initially designed for women only however has also been validated for male workers </w:t>
      </w:r>
      <w:r w:rsidRPr="00227727">
        <w:rPr>
          <w:rFonts w:ascii="Arial" w:hAnsi="Arial" w:cs="Arial"/>
          <w:noProof/>
          <w:sz w:val="24"/>
          <w:szCs w:val="24"/>
        </w:rPr>
        <w:t>(Frantz and Holmgren, 2019)</w:t>
      </w:r>
      <w:r w:rsidRPr="00227727">
        <w:rPr>
          <w:rFonts w:ascii="Arial" w:hAnsi="Arial" w:cs="Arial"/>
          <w:sz w:val="24"/>
          <w:szCs w:val="24"/>
        </w:rPr>
        <w:t xml:space="preserve">. These items are measured on 5-Points Likert scales ranging from 1 = strongly disagree to 5 = strongly agree. </w:t>
      </w:r>
    </w:p>
    <w:p w14:paraId="11D2DCA6" w14:textId="77777777" w:rsidR="00227727" w:rsidRPr="00227727" w:rsidRDefault="00227727" w:rsidP="00227727">
      <w:pPr>
        <w:pStyle w:val="ListParagraph"/>
        <w:numPr>
          <w:ilvl w:val="0"/>
          <w:numId w:val="8"/>
        </w:numPr>
        <w:spacing w:line="360" w:lineRule="auto"/>
        <w:rPr>
          <w:rFonts w:ascii="Arial" w:hAnsi="Arial" w:cs="Arial"/>
        </w:rPr>
      </w:pPr>
      <w:r w:rsidRPr="00227727">
        <w:rPr>
          <w:rFonts w:ascii="Arial" w:hAnsi="Arial" w:cs="Arial"/>
          <w:color w:val="000000"/>
        </w:rPr>
        <w:t>I feel I can meet my deadlines in my current role.</w:t>
      </w:r>
      <w:r w:rsidRPr="00227727" w:rsidDel="00510FC3">
        <w:rPr>
          <w:rFonts w:ascii="Arial" w:hAnsi="Arial" w:cs="Arial"/>
        </w:rPr>
        <w:t xml:space="preserve"> </w:t>
      </w:r>
    </w:p>
    <w:p w14:paraId="61679702" w14:textId="77777777" w:rsidR="00227727" w:rsidRPr="00227727" w:rsidRDefault="00227727" w:rsidP="00227727">
      <w:pPr>
        <w:pStyle w:val="ListParagraph"/>
        <w:numPr>
          <w:ilvl w:val="0"/>
          <w:numId w:val="8"/>
        </w:numPr>
        <w:spacing w:line="360" w:lineRule="auto"/>
        <w:jc w:val="both"/>
        <w:rPr>
          <w:rFonts w:ascii="Arial" w:hAnsi="Arial" w:cs="Arial"/>
        </w:rPr>
      </w:pPr>
      <w:r w:rsidRPr="00227727">
        <w:rPr>
          <w:rFonts w:ascii="Arial" w:hAnsi="Arial" w:cs="Arial"/>
        </w:rPr>
        <w:t>I feel my supervisor or manager takes my views into consideration.</w:t>
      </w:r>
    </w:p>
    <w:p w14:paraId="5E19053C" w14:textId="77777777" w:rsidR="00227727" w:rsidRPr="00227727" w:rsidRDefault="00227727" w:rsidP="00227727">
      <w:pPr>
        <w:pStyle w:val="ListParagraph"/>
        <w:numPr>
          <w:ilvl w:val="0"/>
          <w:numId w:val="8"/>
        </w:numPr>
        <w:spacing w:line="360" w:lineRule="auto"/>
        <w:rPr>
          <w:rFonts w:ascii="Arial" w:hAnsi="Arial" w:cs="Arial"/>
        </w:rPr>
      </w:pPr>
      <w:r w:rsidRPr="00227727">
        <w:rPr>
          <w:rFonts w:ascii="Arial" w:hAnsi="Arial" w:cs="Arial"/>
        </w:rPr>
        <w:t>I can decide the pace at which I work.</w:t>
      </w:r>
      <w:r w:rsidRPr="00227727" w:rsidDel="00CF4711">
        <w:rPr>
          <w:rFonts w:ascii="Arial" w:hAnsi="Arial" w:cs="Arial"/>
        </w:rPr>
        <w:t xml:space="preserve"> </w:t>
      </w:r>
    </w:p>
    <w:p w14:paraId="00EAC304" w14:textId="77777777" w:rsidR="00227727" w:rsidRPr="00227727" w:rsidRDefault="00227727" w:rsidP="00227727">
      <w:pPr>
        <w:pStyle w:val="ListParagraph"/>
        <w:numPr>
          <w:ilvl w:val="0"/>
          <w:numId w:val="8"/>
        </w:numPr>
        <w:spacing w:line="360" w:lineRule="auto"/>
        <w:jc w:val="both"/>
        <w:rPr>
          <w:rFonts w:ascii="Arial" w:hAnsi="Arial" w:cs="Arial"/>
        </w:rPr>
      </w:pPr>
      <w:r w:rsidRPr="00227727">
        <w:rPr>
          <w:rFonts w:ascii="Arial" w:hAnsi="Arial" w:cs="Arial"/>
        </w:rPr>
        <w:t>I clearly understand what is expected of me at work.</w:t>
      </w:r>
    </w:p>
    <w:p w14:paraId="4948195D" w14:textId="77777777" w:rsidR="00227727" w:rsidRPr="00227727" w:rsidRDefault="00227727" w:rsidP="00227727">
      <w:pPr>
        <w:pStyle w:val="ListParagraph"/>
        <w:numPr>
          <w:ilvl w:val="0"/>
          <w:numId w:val="8"/>
        </w:numPr>
        <w:spacing w:line="360" w:lineRule="auto"/>
        <w:rPr>
          <w:rFonts w:ascii="Arial" w:hAnsi="Arial" w:cs="Arial"/>
        </w:rPr>
      </w:pPr>
      <w:r w:rsidRPr="00227727">
        <w:rPr>
          <w:rFonts w:ascii="Arial" w:hAnsi="Arial" w:cs="Arial"/>
        </w:rPr>
        <w:t>I perceive a lack of clarity in my tasks as stressful.</w:t>
      </w:r>
    </w:p>
    <w:p w14:paraId="6E01E55E" w14:textId="77777777" w:rsidR="00227727" w:rsidRPr="00227727" w:rsidRDefault="00227727" w:rsidP="00227727">
      <w:pPr>
        <w:pStyle w:val="ListParagraph"/>
        <w:numPr>
          <w:ilvl w:val="0"/>
          <w:numId w:val="8"/>
        </w:numPr>
        <w:spacing w:line="360" w:lineRule="auto"/>
        <w:jc w:val="both"/>
        <w:rPr>
          <w:rFonts w:ascii="Arial" w:hAnsi="Arial" w:cs="Arial"/>
        </w:rPr>
      </w:pPr>
      <w:r w:rsidRPr="00227727">
        <w:rPr>
          <w:rFonts w:ascii="Arial" w:hAnsi="Arial" w:cs="Arial"/>
        </w:rPr>
        <w:t>I know who is responsible for making key decisions at my workplace.</w:t>
      </w:r>
    </w:p>
    <w:p w14:paraId="59C9319F" w14:textId="77777777" w:rsidR="00227727" w:rsidRPr="00227727" w:rsidRDefault="00227727" w:rsidP="00227727">
      <w:pPr>
        <w:pStyle w:val="ListParagraph"/>
        <w:numPr>
          <w:ilvl w:val="0"/>
          <w:numId w:val="8"/>
        </w:numPr>
        <w:spacing w:line="360" w:lineRule="auto"/>
        <w:jc w:val="both"/>
        <w:rPr>
          <w:rFonts w:ascii="Arial" w:hAnsi="Arial" w:cs="Arial"/>
        </w:rPr>
      </w:pPr>
      <w:r w:rsidRPr="00227727">
        <w:rPr>
          <w:rFonts w:ascii="Arial" w:hAnsi="Arial" w:cs="Arial"/>
        </w:rPr>
        <w:t>I perceive uncertainty around decision-making as stressful.</w:t>
      </w:r>
    </w:p>
    <w:p w14:paraId="16817EF3" w14:textId="77777777" w:rsidR="00227727" w:rsidRPr="00227727" w:rsidRDefault="00227727" w:rsidP="00227727">
      <w:pPr>
        <w:pStyle w:val="ListParagraph"/>
        <w:numPr>
          <w:ilvl w:val="0"/>
          <w:numId w:val="8"/>
        </w:numPr>
        <w:spacing w:line="360" w:lineRule="auto"/>
        <w:jc w:val="both"/>
        <w:rPr>
          <w:rFonts w:ascii="Arial" w:hAnsi="Arial" w:cs="Arial"/>
        </w:rPr>
      </w:pPr>
      <w:r w:rsidRPr="00227727">
        <w:rPr>
          <w:rFonts w:ascii="Arial" w:hAnsi="Arial" w:cs="Arial"/>
        </w:rPr>
        <w:t>When conflicts arise at work, I am able to resolve them amicably.</w:t>
      </w:r>
    </w:p>
    <w:p w14:paraId="00EFF01F" w14:textId="77777777" w:rsidR="00227727" w:rsidRPr="00227727" w:rsidRDefault="00227727" w:rsidP="00227727">
      <w:pPr>
        <w:pStyle w:val="ListParagraph"/>
        <w:numPr>
          <w:ilvl w:val="0"/>
          <w:numId w:val="8"/>
        </w:numPr>
        <w:spacing w:line="360" w:lineRule="auto"/>
        <w:jc w:val="both"/>
        <w:rPr>
          <w:rFonts w:ascii="Arial" w:hAnsi="Arial" w:cs="Arial"/>
        </w:rPr>
      </w:pPr>
      <w:r w:rsidRPr="00227727">
        <w:rPr>
          <w:rFonts w:ascii="Arial" w:hAnsi="Arial" w:cs="Arial"/>
          <w:color w:val="151D19"/>
          <w:highlight w:val="white"/>
        </w:rPr>
        <w:t>I hold myself to a high standard at work.</w:t>
      </w:r>
    </w:p>
    <w:p w14:paraId="0FDB7F73" w14:textId="77777777" w:rsidR="00227727" w:rsidRPr="00227727" w:rsidRDefault="00227727" w:rsidP="00227727">
      <w:pPr>
        <w:pStyle w:val="ListParagraph"/>
        <w:numPr>
          <w:ilvl w:val="0"/>
          <w:numId w:val="8"/>
        </w:numPr>
        <w:spacing w:line="360" w:lineRule="auto"/>
        <w:jc w:val="both"/>
        <w:rPr>
          <w:rFonts w:ascii="Arial" w:hAnsi="Arial" w:cs="Arial"/>
        </w:rPr>
      </w:pPr>
      <w:r w:rsidRPr="00227727">
        <w:rPr>
          <w:rFonts w:ascii="Arial" w:hAnsi="Arial" w:cs="Arial"/>
        </w:rPr>
        <w:t>I find myself thinking about work after my working hours.</w:t>
      </w:r>
    </w:p>
    <w:p w14:paraId="72B51C5E" w14:textId="77777777" w:rsidR="00227727" w:rsidRPr="00227727" w:rsidRDefault="00227727" w:rsidP="00227727">
      <w:pPr>
        <w:spacing w:line="360" w:lineRule="auto"/>
        <w:ind w:firstLine="720"/>
        <w:jc w:val="both"/>
        <w:rPr>
          <w:rFonts w:ascii="Arial" w:hAnsi="Arial" w:cs="Arial"/>
          <w:sz w:val="24"/>
          <w:szCs w:val="24"/>
        </w:rPr>
      </w:pPr>
      <w:r w:rsidRPr="00227727">
        <w:rPr>
          <w:rFonts w:ascii="Arial" w:hAnsi="Arial" w:cs="Arial"/>
          <w:sz w:val="24"/>
          <w:szCs w:val="24"/>
        </w:rPr>
        <w:t xml:space="preserve">On the other hand, Job Satisfaction can be measured through a plethora of surveys as mentioned by Nortje </w:t>
      </w:r>
      <w:sdt>
        <w:sdtPr>
          <w:rPr>
            <w:rFonts w:ascii="Arial" w:hAnsi="Arial" w:cs="Arial"/>
            <w:sz w:val="24"/>
            <w:szCs w:val="24"/>
          </w:rPr>
          <w:id w:val="843597302"/>
          <w:citation/>
        </w:sdtPr>
        <w:sdtContent>
          <w:r w:rsidRPr="00227727">
            <w:rPr>
              <w:rFonts w:ascii="Arial" w:hAnsi="Arial" w:cs="Arial"/>
              <w:sz w:val="24"/>
              <w:szCs w:val="24"/>
            </w:rPr>
            <w:fldChar w:fldCharType="begin"/>
          </w:r>
          <w:r w:rsidRPr="00227727">
            <w:rPr>
              <w:rFonts w:ascii="Arial" w:hAnsi="Arial" w:cs="Arial"/>
              <w:sz w:val="24"/>
              <w:szCs w:val="24"/>
            </w:rPr>
            <w:instrText xml:space="preserve">CITATION Nor21 \n  \t  \l 1033 </w:instrText>
          </w:r>
          <w:r w:rsidRPr="00227727">
            <w:rPr>
              <w:rFonts w:ascii="Arial" w:hAnsi="Arial" w:cs="Arial"/>
              <w:sz w:val="24"/>
              <w:szCs w:val="24"/>
            </w:rPr>
            <w:fldChar w:fldCharType="separate"/>
          </w:r>
          <w:r w:rsidRPr="00227727">
            <w:rPr>
              <w:rFonts w:ascii="Arial" w:hAnsi="Arial" w:cs="Arial"/>
              <w:noProof/>
              <w:sz w:val="24"/>
              <w:szCs w:val="24"/>
            </w:rPr>
            <w:t>(2021)</w:t>
          </w:r>
          <w:r w:rsidRPr="00227727">
            <w:rPr>
              <w:rFonts w:ascii="Arial" w:hAnsi="Arial" w:cs="Arial"/>
              <w:sz w:val="24"/>
              <w:szCs w:val="24"/>
            </w:rPr>
            <w:fldChar w:fldCharType="end"/>
          </w:r>
        </w:sdtContent>
      </w:sdt>
      <w:r w:rsidRPr="00227727">
        <w:rPr>
          <w:rFonts w:ascii="Arial" w:hAnsi="Arial" w:cs="Arial"/>
          <w:sz w:val="24"/>
          <w:szCs w:val="24"/>
        </w:rPr>
        <w:t xml:space="preserve">, out of which a few include, the Job Diagnostic Survey presented by Hackman and Oldham </w:t>
      </w:r>
      <w:sdt>
        <w:sdtPr>
          <w:rPr>
            <w:rFonts w:ascii="Arial" w:hAnsi="Arial" w:cs="Arial"/>
            <w:sz w:val="24"/>
            <w:szCs w:val="24"/>
          </w:rPr>
          <w:id w:val="-32112530"/>
          <w:citation/>
        </w:sdtPr>
        <w:sdtContent>
          <w:r w:rsidRPr="00227727">
            <w:rPr>
              <w:rFonts w:ascii="Arial" w:hAnsi="Arial" w:cs="Arial"/>
              <w:sz w:val="24"/>
              <w:szCs w:val="24"/>
            </w:rPr>
            <w:fldChar w:fldCharType="begin"/>
          </w:r>
          <w:r w:rsidRPr="00227727">
            <w:rPr>
              <w:rFonts w:ascii="Arial" w:hAnsi="Arial" w:cs="Arial"/>
              <w:sz w:val="24"/>
              <w:szCs w:val="24"/>
            </w:rPr>
            <w:instrText xml:space="preserve">CITATION Hac74 \n  \t  \l 1033 </w:instrText>
          </w:r>
          <w:r w:rsidRPr="00227727">
            <w:rPr>
              <w:rFonts w:ascii="Arial" w:hAnsi="Arial" w:cs="Arial"/>
              <w:sz w:val="24"/>
              <w:szCs w:val="24"/>
            </w:rPr>
            <w:fldChar w:fldCharType="separate"/>
          </w:r>
          <w:r w:rsidRPr="00227727">
            <w:rPr>
              <w:rFonts w:ascii="Arial" w:hAnsi="Arial" w:cs="Arial"/>
              <w:noProof/>
              <w:sz w:val="24"/>
              <w:szCs w:val="24"/>
            </w:rPr>
            <w:t>(1974)</w:t>
          </w:r>
          <w:r w:rsidRPr="00227727">
            <w:rPr>
              <w:rFonts w:ascii="Arial" w:hAnsi="Arial" w:cs="Arial"/>
              <w:sz w:val="24"/>
              <w:szCs w:val="24"/>
            </w:rPr>
            <w:fldChar w:fldCharType="end"/>
          </w:r>
        </w:sdtContent>
      </w:sdt>
      <w:r w:rsidRPr="00227727">
        <w:rPr>
          <w:rFonts w:ascii="Arial" w:hAnsi="Arial" w:cs="Arial"/>
          <w:sz w:val="24"/>
          <w:szCs w:val="24"/>
        </w:rPr>
        <w:t xml:space="preserve">, The Gallup Workplace Audit by the Gallup Organisation and the Andrews and Withey Job Satisfaction Questionnaire </w:t>
      </w:r>
      <w:sdt>
        <w:sdtPr>
          <w:rPr>
            <w:rFonts w:ascii="Arial" w:hAnsi="Arial" w:cs="Arial"/>
            <w:sz w:val="24"/>
            <w:szCs w:val="24"/>
          </w:rPr>
          <w:id w:val="-1240865556"/>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And12 \l 1033 </w:instrText>
          </w:r>
          <w:r w:rsidRPr="00227727">
            <w:rPr>
              <w:rFonts w:ascii="Arial" w:hAnsi="Arial" w:cs="Arial"/>
              <w:sz w:val="24"/>
              <w:szCs w:val="24"/>
            </w:rPr>
            <w:fldChar w:fldCharType="separate"/>
          </w:r>
          <w:r w:rsidRPr="00227727">
            <w:rPr>
              <w:rFonts w:ascii="Arial" w:hAnsi="Arial" w:cs="Arial"/>
              <w:noProof/>
              <w:sz w:val="24"/>
              <w:szCs w:val="24"/>
            </w:rPr>
            <w:t>(Andrews &amp; Withey, 2012)</w:t>
          </w:r>
          <w:r w:rsidRPr="00227727">
            <w:rPr>
              <w:rFonts w:ascii="Arial" w:hAnsi="Arial" w:cs="Arial"/>
              <w:sz w:val="24"/>
              <w:szCs w:val="24"/>
            </w:rPr>
            <w:fldChar w:fldCharType="end"/>
          </w:r>
        </w:sdtContent>
      </w:sdt>
      <w:r w:rsidRPr="00227727">
        <w:rPr>
          <w:rFonts w:ascii="Arial" w:hAnsi="Arial" w:cs="Arial"/>
          <w:sz w:val="24"/>
          <w:szCs w:val="24"/>
        </w:rPr>
        <w:t xml:space="preserve">. Since the Job Diagnostic Survey covers job satisfaction in terms of security, pay, supervision and growth, four items will be utilised from this scale within the questionnaire of the proposed study. Ten items of job satisfaction have been adapted from the study of </w:t>
      </w:r>
      <w:r w:rsidRPr="00227727">
        <w:rPr>
          <w:rFonts w:ascii="Arial" w:hAnsi="Arial" w:cs="Arial"/>
          <w:color w:val="222222"/>
          <w:sz w:val="24"/>
          <w:szCs w:val="24"/>
          <w:shd w:val="clear" w:color="auto" w:fill="FFFFFF"/>
        </w:rPr>
        <w:t>Babakus and Boller (1992). All survey items will be measured on 5-Points Likert scales.</w:t>
      </w:r>
    </w:p>
    <w:p w14:paraId="290E3354"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t xml:space="preserve">I am happy with my current salary. </w:t>
      </w:r>
    </w:p>
    <w:p w14:paraId="20D3F243"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lastRenderedPageBreak/>
        <w:t>I value the flexible nature of my work.</w:t>
      </w:r>
    </w:p>
    <w:p w14:paraId="7E01B885"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t>I find my work matches with my aspirations and skill set.</w:t>
      </w:r>
    </w:p>
    <w:p w14:paraId="2310D1C3"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t>I find the culture at my workplace to be friendly and welcoming.</w:t>
      </w:r>
    </w:p>
    <w:p w14:paraId="574BDAAA"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t>I appreciate the respect, understanding and support shown by my organisation toward my family responsibilities.</w:t>
      </w:r>
    </w:p>
    <w:p w14:paraId="141087C6"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t>I have not experienced any discrimination at work.</w:t>
      </w:r>
    </w:p>
    <w:p w14:paraId="59356C81"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t>I regularly exceed expectations at work</w:t>
      </w:r>
    </w:p>
    <w:p w14:paraId="719065D4"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t>I feel a sense of belonging and acceptance at work.</w:t>
      </w:r>
    </w:p>
    <w:p w14:paraId="4B9F7578"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rPr>
        <w:t>I understand the organisation’s strategic direction.</w:t>
      </w:r>
    </w:p>
    <w:p w14:paraId="3F6A5562" w14:textId="77777777" w:rsidR="00227727" w:rsidRPr="00227727" w:rsidRDefault="00227727" w:rsidP="00227727">
      <w:pPr>
        <w:pStyle w:val="ListParagraph"/>
        <w:numPr>
          <w:ilvl w:val="0"/>
          <w:numId w:val="4"/>
        </w:numPr>
        <w:spacing w:line="360" w:lineRule="auto"/>
        <w:jc w:val="both"/>
        <w:rPr>
          <w:rFonts w:ascii="Arial" w:hAnsi="Arial" w:cs="Arial"/>
        </w:rPr>
      </w:pPr>
      <w:r w:rsidRPr="00227727">
        <w:rPr>
          <w:rFonts w:ascii="Arial" w:hAnsi="Arial" w:cs="Arial"/>
          <w:color w:val="151D19"/>
          <w:highlight w:val="white"/>
        </w:rPr>
        <w:t xml:space="preserve">I’d happily refer a friend to work for this </w:t>
      </w:r>
      <w:r w:rsidRPr="00227727">
        <w:rPr>
          <w:rFonts w:ascii="Arial" w:hAnsi="Arial" w:cs="Arial"/>
          <w:color w:val="151D19"/>
        </w:rPr>
        <w:t>company</w:t>
      </w:r>
      <w:r w:rsidRPr="00227727">
        <w:rPr>
          <w:rFonts w:ascii="Arial" w:hAnsi="Arial" w:cs="Arial"/>
        </w:rPr>
        <w:t>.</w:t>
      </w:r>
    </w:p>
    <w:p w14:paraId="6D5A73CE"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As well, 7 items of psychological wellbeing have been adapted from the study of </w:t>
      </w:r>
      <w:r w:rsidRPr="00227727">
        <w:rPr>
          <w:rFonts w:ascii="Arial" w:hAnsi="Arial" w:cs="Arial"/>
          <w:color w:val="222222"/>
          <w:sz w:val="24"/>
          <w:szCs w:val="24"/>
          <w:shd w:val="clear" w:color="auto" w:fill="FFFFFF"/>
        </w:rPr>
        <w:t>Pradhan and Hati (2022). All survey items will be measured on 5-Points Likert scales.</w:t>
      </w:r>
    </w:p>
    <w:p w14:paraId="4219928F" w14:textId="77777777" w:rsidR="00227727" w:rsidRPr="00227727" w:rsidRDefault="00227727" w:rsidP="00227727">
      <w:pPr>
        <w:pStyle w:val="ListParagraph"/>
        <w:numPr>
          <w:ilvl w:val="0"/>
          <w:numId w:val="3"/>
        </w:numPr>
        <w:spacing w:line="360" w:lineRule="auto"/>
        <w:jc w:val="both"/>
        <w:rPr>
          <w:rFonts w:ascii="Arial" w:hAnsi="Arial" w:cs="Arial"/>
        </w:rPr>
      </w:pPr>
      <w:r w:rsidRPr="00227727">
        <w:rPr>
          <w:rFonts w:ascii="Arial" w:hAnsi="Arial" w:cs="Arial"/>
        </w:rPr>
        <w:t xml:space="preserve">I easily adapt to the day-to-day changes in my life and manage my responsibilities well. </w:t>
      </w:r>
    </w:p>
    <w:p w14:paraId="6A184101" w14:textId="77777777" w:rsidR="00227727" w:rsidRPr="00227727" w:rsidRDefault="00227727" w:rsidP="00227727">
      <w:pPr>
        <w:pStyle w:val="ListParagraph"/>
        <w:numPr>
          <w:ilvl w:val="0"/>
          <w:numId w:val="3"/>
        </w:numPr>
        <w:spacing w:line="360" w:lineRule="auto"/>
        <w:jc w:val="both"/>
        <w:rPr>
          <w:rFonts w:ascii="Arial" w:hAnsi="Arial" w:cs="Arial"/>
        </w:rPr>
      </w:pPr>
      <w:r w:rsidRPr="00227727">
        <w:rPr>
          <w:rFonts w:ascii="Arial" w:hAnsi="Arial" w:cs="Arial"/>
        </w:rPr>
        <w:t xml:space="preserve">I focus on what is important to me, rather than prioritising what is important to others. </w:t>
      </w:r>
    </w:p>
    <w:p w14:paraId="3F82A106" w14:textId="77777777" w:rsidR="00227727" w:rsidRPr="00227727" w:rsidRDefault="00227727" w:rsidP="00227727">
      <w:pPr>
        <w:pStyle w:val="ListParagraph"/>
        <w:numPr>
          <w:ilvl w:val="0"/>
          <w:numId w:val="3"/>
        </w:numPr>
        <w:spacing w:line="360" w:lineRule="auto"/>
        <w:jc w:val="both"/>
        <w:rPr>
          <w:rFonts w:ascii="Arial" w:hAnsi="Arial" w:cs="Arial"/>
        </w:rPr>
      </w:pPr>
      <w:r w:rsidRPr="00227727">
        <w:rPr>
          <w:rFonts w:ascii="Arial" w:hAnsi="Arial" w:cs="Arial"/>
        </w:rPr>
        <w:t xml:space="preserve">I understand the work expectations placed on me. </w:t>
      </w:r>
    </w:p>
    <w:p w14:paraId="11683EF8" w14:textId="77777777" w:rsidR="00227727" w:rsidRPr="00227727" w:rsidRDefault="00227727" w:rsidP="00227727">
      <w:pPr>
        <w:pStyle w:val="ListParagraph"/>
        <w:numPr>
          <w:ilvl w:val="0"/>
          <w:numId w:val="3"/>
        </w:numPr>
        <w:spacing w:line="360" w:lineRule="auto"/>
        <w:jc w:val="both"/>
        <w:rPr>
          <w:rFonts w:ascii="Arial" w:hAnsi="Arial" w:cs="Arial"/>
        </w:rPr>
      </w:pPr>
      <w:r w:rsidRPr="00227727">
        <w:rPr>
          <w:rFonts w:ascii="Arial" w:hAnsi="Arial" w:cs="Arial"/>
        </w:rPr>
        <w:t xml:space="preserve">I feel confident in my ability to make decision. </w:t>
      </w:r>
    </w:p>
    <w:p w14:paraId="67447720" w14:textId="77777777" w:rsidR="00227727" w:rsidRPr="00227727" w:rsidRDefault="00227727" w:rsidP="00227727">
      <w:pPr>
        <w:pStyle w:val="ListParagraph"/>
        <w:numPr>
          <w:ilvl w:val="0"/>
          <w:numId w:val="3"/>
        </w:numPr>
        <w:spacing w:line="360" w:lineRule="auto"/>
        <w:jc w:val="both"/>
        <w:rPr>
          <w:rFonts w:ascii="Arial" w:hAnsi="Arial" w:cs="Arial"/>
        </w:rPr>
      </w:pPr>
      <w:r w:rsidRPr="00227727">
        <w:rPr>
          <w:rFonts w:ascii="Arial" w:hAnsi="Arial" w:cs="Arial"/>
        </w:rPr>
        <w:t xml:space="preserve">I sometimes feel depressed due to the stress and demands of daily life. </w:t>
      </w:r>
    </w:p>
    <w:p w14:paraId="489AE7F5" w14:textId="77777777" w:rsidR="00227727" w:rsidRPr="00227727" w:rsidRDefault="00227727" w:rsidP="00227727">
      <w:pPr>
        <w:pStyle w:val="ListParagraph"/>
        <w:numPr>
          <w:ilvl w:val="0"/>
          <w:numId w:val="3"/>
        </w:numPr>
        <w:spacing w:line="360" w:lineRule="auto"/>
        <w:jc w:val="both"/>
        <w:rPr>
          <w:rFonts w:ascii="Arial" w:hAnsi="Arial" w:cs="Arial"/>
        </w:rPr>
      </w:pPr>
      <w:r w:rsidRPr="00227727">
        <w:rPr>
          <w:rFonts w:ascii="Arial" w:hAnsi="Arial" w:cs="Arial"/>
        </w:rPr>
        <w:t xml:space="preserve">I believe that I have a clear purpose and direction at work. </w:t>
      </w:r>
    </w:p>
    <w:p w14:paraId="79C179F7" w14:textId="77777777" w:rsidR="00227727" w:rsidRPr="00227727" w:rsidRDefault="00227727" w:rsidP="00227727">
      <w:pPr>
        <w:pStyle w:val="ListParagraph"/>
        <w:numPr>
          <w:ilvl w:val="0"/>
          <w:numId w:val="3"/>
        </w:numPr>
        <w:spacing w:line="360" w:lineRule="auto"/>
        <w:jc w:val="both"/>
        <w:rPr>
          <w:rFonts w:ascii="Arial" w:hAnsi="Arial" w:cs="Arial"/>
        </w:rPr>
      </w:pPr>
      <w:r w:rsidRPr="00227727">
        <w:rPr>
          <w:rFonts w:ascii="Arial" w:hAnsi="Arial" w:cs="Arial"/>
          <w:color w:val="000000"/>
        </w:rPr>
        <w:t>I’m confident in who I am.</w:t>
      </w:r>
    </w:p>
    <w:p w14:paraId="0E710261" w14:textId="77777777" w:rsidR="00227727" w:rsidRPr="00227727" w:rsidRDefault="00227727" w:rsidP="00227727">
      <w:pPr>
        <w:pStyle w:val="Heading4"/>
        <w:rPr>
          <w:rFonts w:ascii="Arial" w:hAnsi="Arial" w:cs="Arial"/>
        </w:rPr>
      </w:pPr>
      <w:r w:rsidRPr="00227727">
        <w:rPr>
          <w:rFonts w:ascii="Arial" w:hAnsi="Arial" w:cs="Arial"/>
        </w:rPr>
        <w:t>Job Performance</w:t>
      </w:r>
    </w:p>
    <w:p w14:paraId="2074EA47"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In terms of measuring the job performance, an individual work performance questionnaire </w:t>
      </w:r>
      <w:sdt>
        <w:sdtPr>
          <w:rPr>
            <w:rFonts w:ascii="Arial" w:hAnsi="Arial" w:cs="Arial"/>
            <w:sz w:val="24"/>
            <w:szCs w:val="24"/>
          </w:rPr>
          <w:id w:val="-2102097222"/>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Koo15 \l 1033 </w:instrText>
          </w:r>
          <w:r w:rsidRPr="00227727">
            <w:rPr>
              <w:rFonts w:ascii="Arial" w:hAnsi="Arial" w:cs="Arial"/>
              <w:sz w:val="24"/>
              <w:szCs w:val="24"/>
            </w:rPr>
            <w:fldChar w:fldCharType="separate"/>
          </w:r>
          <w:r w:rsidRPr="00227727">
            <w:rPr>
              <w:rFonts w:ascii="Arial" w:hAnsi="Arial" w:cs="Arial"/>
              <w:noProof/>
              <w:sz w:val="24"/>
              <w:szCs w:val="24"/>
            </w:rPr>
            <w:t>(Koopmans, 2015)</w:t>
          </w:r>
          <w:r w:rsidRPr="00227727">
            <w:rPr>
              <w:rFonts w:ascii="Arial" w:hAnsi="Arial" w:cs="Arial"/>
              <w:sz w:val="24"/>
              <w:szCs w:val="24"/>
            </w:rPr>
            <w:fldChar w:fldCharType="end"/>
          </w:r>
        </w:sdtContent>
      </w:sdt>
      <w:r w:rsidRPr="00227727">
        <w:rPr>
          <w:rFonts w:ascii="Arial" w:hAnsi="Arial" w:cs="Arial"/>
          <w:sz w:val="24"/>
          <w:szCs w:val="24"/>
        </w:rPr>
        <w:t xml:space="preserve"> has been derived covering different aspects of performance including task, context and behaviour, utilising around 18 items within the scale. The first dimensions measure the capability of the individual to carry out the job i.e. whether he can effectively complete the duties attached to his job role, the second measures how the individual behaves within the organisation and towards it whereas the third dimension measures the willingness of the individual to harm the organisation. It was developed by Koopmans in 2015 and since then has been validated by a number of studies therefore, four items from this scale will also be utilised within the proposed study </w:t>
      </w:r>
      <w:sdt>
        <w:sdtPr>
          <w:rPr>
            <w:rFonts w:ascii="Arial" w:hAnsi="Arial" w:cs="Arial"/>
            <w:sz w:val="24"/>
            <w:szCs w:val="24"/>
          </w:rPr>
          <w:id w:val="-1230606451"/>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Ram19 \l 1033 </w:instrText>
          </w:r>
          <w:r w:rsidRPr="00227727">
            <w:rPr>
              <w:rFonts w:ascii="Arial" w:hAnsi="Arial" w:cs="Arial"/>
              <w:sz w:val="24"/>
              <w:szCs w:val="24"/>
            </w:rPr>
            <w:fldChar w:fldCharType="separate"/>
          </w:r>
          <w:r w:rsidRPr="00227727">
            <w:rPr>
              <w:rFonts w:ascii="Arial" w:hAnsi="Arial" w:cs="Arial"/>
              <w:noProof/>
              <w:sz w:val="24"/>
              <w:szCs w:val="24"/>
            </w:rPr>
            <w:t>(Ramos-Villagrasa, Barrada, Fernández-del-Río, &amp; Koopmans, 2019)</w:t>
          </w:r>
          <w:r w:rsidRPr="00227727">
            <w:rPr>
              <w:rFonts w:ascii="Arial" w:hAnsi="Arial" w:cs="Arial"/>
              <w:sz w:val="24"/>
              <w:szCs w:val="24"/>
            </w:rPr>
            <w:fldChar w:fldCharType="end"/>
          </w:r>
        </w:sdtContent>
      </w:sdt>
      <w:r w:rsidRPr="00227727">
        <w:rPr>
          <w:rFonts w:ascii="Arial" w:hAnsi="Arial" w:cs="Arial"/>
          <w:sz w:val="24"/>
          <w:szCs w:val="24"/>
        </w:rPr>
        <w:t xml:space="preserve">. Thus, seven items of job performance have been adapted from the study of </w:t>
      </w:r>
      <w:r w:rsidRPr="00227727">
        <w:rPr>
          <w:rFonts w:ascii="Arial" w:hAnsi="Arial" w:cs="Arial"/>
          <w:noProof/>
          <w:sz w:val="24"/>
          <w:szCs w:val="24"/>
        </w:rPr>
        <w:t>Ramos-Villagrasa et al. (2019</w:t>
      </w:r>
      <w:r w:rsidRPr="00227727">
        <w:rPr>
          <w:rFonts w:ascii="Arial" w:hAnsi="Arial" w:cs="Arial"/>
          <w:color w:val="222222"/>
          <w:sz w:val="24"/>
          <w:szCs w:val="24"/>
          <w:shd w:val="clear" w:color="auto" w:fill="FFFFFF"/>
        </w:rPr>
        <w:t>). All survey items will be measured on 5-Points Likert scales.</w:t>
      </w:r>
    </w:p>
    <w:p w14:paraId="404C719F" w14:textId="77777777" w:rsidR="00227727" w:rsidRPr="00227727" w:rsidRDefault="00227727" w:rsidP="00227727">
      <w:pPr>
        <w:pStyle w:val="ListParagraph"/>
        <w:numPr>
          <w:ilvl w:val="0"/>
          <w:numId w:val="5"/>
        </w:numPr>
        <w:spacing w:line="360" w:lineRule="auto"/>
        <w:jc w:val="both"/>
        <w:rPr>
          <w:rFonts w:ascii="Arial" w:hAnsi="Arial" w:cs="Arial"/>
        </w:rPr>
      </w:pPr>
      <w:r w:rsidRPr="00227727">
        <w:rPr>
          <w:rFonts w:ascii="Arial" w:hAnsi="Arial" w:cs="Arial"/>
        </w:rPr>
        <w:t>I plan out my tasks before I start.</w:t>
      </w:r>
    </w:p>
    <w:p w14:paraId="4FAFB3B5" w14:textId="77777777" w:rsidR="00227727" w:rsidRPr="00227727" w:rsidRDefault="00227727" w:rsidP="00227727">
      <w:pPr>
        <w:pStyle w:val="ListParagraph"/>
        <w:numPr>
          <w:ilvl w:val="0"/>
          <w:numId w:val="5"/>
        </w:numPr>
        <w:spacing w:line="360" w:lineRule="auto"/>
        <w:jc w:val="both"/>
        <w:rPr>
          <w:rFonts w:ascii="Arial" w:hAnsi="Arial" w:cs="Arial"/>
        </w:rPr>
      </w:pPr>
      <w:r w:rsidRPr="00227727">
        <w:rPr>
          <w:rFonts w:ascii="Arial" w:hAnsi="Arial" w:cs="Arial"/>
        </w:rPr>
        <w:t>I accomplish the tasks I set for myself</w:t>
      </w:r>
    </w:p>
    <w:p w14:paraId="228E0384" w14:textId="77777777" w:rsidR="00227727" w:rsidRPr="00227727" w:rsidRDefault="00227727" w:rsidP="00227727">
      <w:pPr>
        <w:pStyle w:val="ListParagraph"/>
        <w:numPr>
          <w:ilvl w:val="0"/>
          <w:numId w:val="5"/>
        </w:numPr>
        <w:spacing w:line="360" w:lineRule="auto"/>
        <w:jc w:val="both"/>
        <w:rPr>
          <w:rFonts w:ascii="Arial" w:hAnsi="Arial" w:cs="Arial"/>
        </w:rPr>
      </w:pPr>
      <w:r w:rsidRPr="00227727">
        <w:rPr>
          <w:rFonts w:ascii="Arial" w:hAnsi="Arial" w:cs="Arial"/>
        </w:rPr>
        <w:t>I am able to prioritise my tasks</w:t>
      </w:r>
    </w:p>
    <w:p w14:paraId="3D29B3D9" w14:textId="77777777" w:rsidR="00227727" w:rsidRPr="00227727" w:rsidRDefault="00227727" w:rsidP="00227727">
      <w:pPr>
        <w:pStyle w:val="ListParagraph"/>
        <w:numPr>
          <w:ilvl w:val="0"/>
          <w:numId w:val="5"/>
        </w:numPr>
        <w:spacing w:line="360" w:lineRule="auto"/>
        <w:jc w:val="both"/>
        <w:rPr>
          <w:rFonts w:ascii="Arial" w:hAnsi="Arial" w:cs="Arial"/>
        </w:rPr>
      </w:pPr>
      <w:r w:rsidRPr="00227727">
        <w:rPr>
          <w:rFonts w:ascii="Arial" w:hAnsi="Arial" w:cs="Arial"/>
        </w:rPr>
        <w:t>I take on challenging tasks when they were available.</w:t>
      </w:r>
    </w:p>
    <w:p w14:paraId="03E55DF5" w14:textId="77777777" w:rsidR="00227727" w:rsidRPr="00227727" w:rsidRDefault="00227727" w:rsidP="00227727">
      <w:pPr>
        <w:pStyle w:val="ListParagraph"/>
        <w:numPr>
          <w:ilvl w:val="0"/>
          <w:numId w:val="5"/>
        </w:numPr>
        <w:spacing w:line="360" w:lineRule="auto"/>
        <w:jc w:val="both"/>
        <w:rPr>
          <w:rFonts w:ascii="Arial" w:hAnsi="Arial" w:cs="Arial"/>
        </w:rPr>
      </w:pPr>
      <w:r w:rsidRPr="00227727">
        <w:rPr>
          <w:rFonts w:ascii="Arial" w:hAnsi="Arial" w:cs="Arial"/>
        </w:rPr>
        <w:t>I come up with creative solutions to address problems.</w:t>
      </w:r>
    </w:p>
    <w:p w14:paraId="1152367B" w14:textId="77777777" w:rsidR="00227727" w:rsidRPr="00227727" w:rsidRDefault="00227727" w:rsidP="00227727">
      <w:pPr>
        <w:pStyle w:val="ListParagraph"/>
        <w:numPr>
          <w:ilvl w:val="0"/>
          <w:numId w:val="5"/>
        </w:numPr>
        <w:spacing w:line="360" w:lineRule="auto"/>
        <w:jc w:val="both"/>
        <w:rPr>
          <w:rFonts w:ascii="Arial" w:hAnsi="Arial" w:cs="Arial"/>
        </w:rPr>
      </w:pPr>
      <w:r w:rsidRPr="00227727">
        <w:rPr>
          <w:rFonts w:ascii="Arial" w:hAnsi="Arial" w:cs="Arial"/>
        </w:rPr>
        <w:lastRenderedPageBreak/>
        <w:t>I take on extra responsibilities when an opportunity presents itself</w:t>
      </w:r>
    </w:p>
    <w:p w14:paraId="1A00C22F" w14:textId="77777777" w:rsidR="00227727" w:rsidRPr="00227727" w:rsidRDefault="00227727" w:rsidP="00227727">
      <w:pPr>
        <w:pStyle w:val="ListParagraph"/>
        <w:numPr>
          <w:ilvl w:val="0"/>
          <w:numId w:val="5"/>
        </w:numPr>
        <w:spacing w:line="360" w:lineRule="auto"/>
        <w:jc w:val="both"/>
        <w:rPr>
          <w:rFonts w:ascii="Arial" w:hAnsi="Arial" w:cs="Arial"/>
        </w:rPr>
      </w:pPr>
      <w:r w:rsidRPr="00227727">
        <w:rPr>
          <w:rFonts w:ascii="Arial" w:hAnsi="Arial" w:cs="Arial"/>
        </w:rPr>
        <w:t>I actively participate in meetings and discussions</w:t>
      </w:r>
    </w:p>
    <w:p w14:paraId="2A265314" w14:textId="77777777" w:rsidR="00227727" w:rsidRPr="00227727" w:rsidRDefault="00227727" w:rsidP="00227727">
      <w:pPr>
        <w:pStyle w:val="Heading4"/>
        <w:rPr>
          <w:rFonts w:ascii="Arial" w:hAnsi="Arial" w:cs="Arial"/>
        </w:rPr>
      </w:pPr>
      <w:r w:rsidRPr="00227727">
        <w:rPr>
          <w:rFonts w:ascii="Arial" w:hAnsi="Arial" w:cs="Arial"/>
        </w:rPr>
        <w:t>HRM Practices</w:t>
      </w:r>
    </w:p>
    <w:p w14:paraId="1B4DDD1E"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The proposed study considers two types of HRM practices which include control and commitment based HRM systems to moderate the relationship between smarter working and employee wellbeing which have been measured using the Ability, Motivation, Objective framework as utilised within the study of Kim and Shin </w:t>
      </w:r>
      <w:sdt>
        <w:sdtPr>
          <w:rPr>
            <w:rFonts w:ascii="Arial" w:hAnsi="Arial" w:cs="Arial"/>
            <w:sz w:val="24"/>
            <w:szCs w:val="24"/>
          </w:rPr>
          <w:id w:val="-552010144"/>
          <w:citation/>
        </w:sdtPr>
        <w:sdtContent>
          <w:r w:rsidRPr="00227727">
            <w:rPr>
              <w:rFonts w:ascii="Arial" w:hAnsi="Arial" w:cs="Arial"/>
              <w:sz w:val="24"/>
              <w:szCs w:val="24"/>
            </w:rPr>
            <w:fldChar w:fldCharType="begin"/>
          </w:r>
          <w:r w:rsidRPr="00227727">
            <w:rPr>
              <w:rFonts w:ascii="Arial" w:hAnsi="Arial" w:cs="Arial"/>
              <w:sz w:val="24"/>
              <w:szCs w:val="24"/>
            </w:rPr>
            <w:instrText xml:space="preserve">CITATION Kim19 \n  \t  \l 1033 </w:instrText>
          </w:r>
          <w:r w:rsidRPr="00227727">
            <w:rPr>
              <w:rFonts w:ascii="Arial" w:hAnsi="Arial" w:cs="Arial"/>
              <w:sz w:val="24"/>
              <w:szCs w:val="24"/>
            </w:rPr>
            <w:fldChar w:fldCharType="separate"/>
          </w:r>
          <w:r w:rsidRPr="00227727">
            <w:rPr>
              <w:rFonts w:ascii="Arial" w:hAnsi="Arial" w:cs="Arial"/>
              <w:noProof/>
              <w:sz w:val="24"/>
              <w:szCs w:val="24"/>
            </w:rPr>
            <w:t>(2019)</w:t>
          </w:r>
          <w:r w:rsidRPr="00227727">
            <w:rPr>
              <w:rFonts w:ascii="Arial" w:hAnsi="Arial" w:cs="Arial"/>
              <w:sz w:val="24"/>
              <w:szCs w:val="24"/>
            </w:rPr>
            <w:fldChar w:fldCharType="end"/>
          </w:r>
        </w:sdtContent>
      </w:sdt>
      <w:r w:rsidRPr="00227727">
        <w:rPr>
          <w:rFonts w:ascii="Arial" w:hAnsi="Arial" w:cs="Arial"/>
          <w:sz w:val="24"/>
          <w:szCs w:val="24"/>
        </w:rPr>
        <w:t xml:space="preserve">. Their respective scale used to measure HRM practices is also suitable for the purpose of this study, therefore, four suitable items have also been derived from their scale to address our needs. Thus, 5 items of human resource management have been adapted from the study of </w:t>
      </w:r>
      <w:r w:rsidRPr="00227727">
        <w:rPr>
          <w:rFonts w:ascii="Arial" w:hAnsi="Arial" w:cs="Arial"/>
          <w:color w:val="222222"/>
          <w:sz w:val="24"/>
          <w:szCs w:val="20"/>
          <w:shd w:val="clear" w:color="auto" w:fill="FFFFFF"/>
        </w:rPr>
        <w:t>Steyn and De Bruin (2018)</w:t>
      </w:r>
      <w:r w:rsidRPr="00227727">
        <w:rPr>
          <w:rFonts w:ascii="Arial" w:hAnsi="Arial" w:cs="Arial"/>
          <w:color w:val="222222"/>
          <w:sz w:val="24"/>
          <w:szCs w:val="24"/>
          <w:shd w:val="clear" w:color="auto" w:fill="FFFFFF"/>
        </w:rPr>
        <w:t xml:space="preserve">. All survey items will be measured on 5-Points Likert scales. </w:t>
      </w:r>
    </w:p>
    <w:p w14:paraId="152879E1" w14:textId="77777777" w:rsidR="00227727" w:rsidRPr="00227727" w:rsidRDefault="00227727" w:rsidP="00227727">
      <w:pPr>
        <w:pStyle w:val="ListParagraph"/>
        <w:numPr>
          <w:ilvl w:val="0"/>
          <w:numId w:val="9"/>
        </w:numPr>
        <w:spacing w:line="360" w:lineRule="auto"/>
        <w:jc w:val="both"/>
        <w:rPr>
          <w:rFonts w:ascii="Arial" w:hAnsi="Arial" w:cs="Arial"/>
        </w:rPr>
      </w:pPr>
      <w:r w:rsidRPr="00227727">
        <w:rPr>
          <w:rFonts w:ascii="Arial" w:hAnsi="Arial" w:cs="Arial"/>
        </w:rPr>
        <w:t>This company is committed to addressing the training and development needs of employees.</w:t>
      </w:r>
    </w:p>
    <w:p w14:paraId="4CD86622" w14:textId="77777777" w:rsidR="00227727" w:rsidRPr="00227727" w:rsidRDefault="00227727" w:rsidP="00227727">
      <w:pPr>
        <w:pStyle w:val="ListParagraph"/>
        <w:numPr>
          <w:ilvl w:val="0"/>
          <w:numId w:val="9"/>
        </w:numPr>
        <w:spacing w:line="360" w:lineRule="auto"/>
        <w:jc w:val="both"/>
        <w:rPr>
          <w:rFonts w:ascii="Arial" w:hAnsi="Arial" w:cs="Arial"/>
        </w:rPr>
      </w:pPr>
      <w:r w:rsidRPr="00227727">
        <w:rPr>
          <w:rFonts w:ascii="Arial" w:hAnsi="Arial" w:cs="Arial"/>
        </w:rPr>
        <w:t>The benefits offered to employees in addition to the salary are extensive.</w:t>
      </w:r>
    </w:p>
    <w:p w14:paraId="24D30570" w14:textId="77777777" w:rsidR="00227727" w:rsidRPr="00227727" w:rsidRDefault="00227727" w:rsidP="00227727">
      <w:pPr>
        <w:pStyle w:val="ListParagraph"/>
        <w:numPr>
          <w:ilvl w:val="0"/>
          <w:numId w:val="9"/>
        </w:numPr>
        <w:spacing w:line="360" w:lineRule="auto"/>
        <w:jc w:val="both"/>
        <w:rPr>
          <w:rFonts w:ascii="Arial" w:hAnsi="Arial" w:cs="Arial"/>
        </w:rPr>
      </w:pPr>
      <w:r w:rsidRPr="00227727">
        <w:rPr>
          <w:rFonts w:ascii="Arial" w:hAnsi="Arial" w:cs="Arial"/>
        </w:rPr>
        <w:t>Outstanding performance at work is fairly compensated or recognised at work</w:t>
      </w:r>
    </w:p>
    <w:p w14:paraId="4E84606B" w14:textId="77777777" w:rsidR="00227727" w:rsidRPr="00227727" w:rsidRDefault="00227727" w:rsidP="00227727">
      <w:pPr>
        <w:pStyle w:val="ListParagraph"/>
        <w:numPr>
          <w:ilvl w:val="0"/>
          <w:numId w:val="9"/>
        </w:numPr>
        <w:spacing w:line="360" w:lineRule="auto"/>
        <w:jc w:val="both"/>
        <w:rPr>
          <w:rFonts w:ascii="Arial" w:hAnsi="Arial" w:cs="Arial"/>
        </w:rPr>
      </w:pPr>
      <w:r w:rsidRPr="00227727">
        <w:rPr>
          <w:rFonts w:ascii="Arial" w:hAnsi="Arial" w:cs="Arial"/>
        </w:rPr>
        <w:t>The performance evaluation system is fair and is based on clear objectives set at the beginning of the term/year.</w:t>
      </w:r>
    </w:p>
    <w:p w14:paraId="4773D4B1" w14:textId="77777777" w:rsidR="00227727" w:rsidRPr="00227727" w:rsidRDefault="00227727" w:rsidP="00227727">
      <w:pPr>
        <w:pStyle w:val="ListParagraph"/>
        <w:numPr>
          <w:ilvl w:val="0"/>
          <w:numId w:val="9"/>
        </w:numPr>
        <w:spacing w:line="360" w:lineRule="auto"/>
        <w:jc w:val="both"/>
        <w:rPr>
          <w:rFonts w:ascii="Arial" w:hAnsi="Arial" w:cs="Arial"/>
        </w:rPr>
      </w:pPr>
      <w:r w:rsidRPr="00227727">
        <w:rPr>
          <w:rFonts w:ascii="Arial" w:hAnsi="Arial" w:cs="Arial"/>
        </w:rPr>
        <w:t>Appointments/promotions are made based on merit, ensuring the best candidate is selected regardless of personal preferences.</w:t>
      </w:r>
      <w:r w:rsidRPr="00227727" w:rsidDel="00B44EEC">
        <w:rPr>
          <w:rFonts w:ascii="Arial" w:hAnsi="Arial" w:cs="Arial"/>
        </w:rPr>
        <w:t xml:space="preserve"> </w:t>
      </w:r>
    </w:p>
    <w:p w14:paraId="41B372C0" w14:textId="77777777" w:rsidR="00227727" w:rsidRPr="00227727" w:rsidRDefault="00227727" w:rsidP="00227727">
      <w:pPr>
        <w:pStyle w:val="Heading3"/>
        <w:rPr>
          <w:rFonts w:ascii="Arial" w:hAnsi="Arial" w:cs="Arial"/>
        </w:rPr>
      </w:pPr>
      <w:r w:rsidRPr="00227727">
        <w:rPr>
          <w:rFonts w:ascii="Arial" w:hAnsi="Arial" w:cs="Arial"/>
        </w:rPr>
        <w:t>Procedure of Data Collection</w:t>
      </w:r>
    </w:p>
    <w:p w14:paraId="1C461189"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 xml:space="preserve">Initially, the sample will be formed through the purposive sampling method after which they will be contacted through email regarding the objectives of the study and with a consent form. The consent form will protect the research study from any sensitive ethical issues to arise in the future. After consent forms are received by each individual, the link to the online questionnaire will be sent to each individual through email that will be filled using either Google Forms or Survey Monkey being one of the most used platforms for survey administration. This is also the most cost-effective methods since it does not consume a lot of time while saves a lot on finances </w:t>
      </w:r>
      <w:sdt>
        <w:sdtPr>
          <w:rPr>
            <w:rFonts w:ascii="Arial" w:hAnsi="Arial" w:cs="Arial"/>
            <w:sz w:val="24"/>
            <w:szCs w:val="24"/>
          </w:rPr>
          <w:id w:val="1053654585"/>
          <w:citation/>
        </w:sdtPr>
        <w:sdtContent>
          <w:r w:rsidRPr="00227727">
            <w:rPr>
              <w:rFonts w:ascii="Arial" w:hAnsi="Arial" w:cs="Arial"/>
              <w:sz w:val="24"/>
              <w:szCs w:val="24"/>
            </w:rPr>
            <w:fldChar w:fldCharType="begin"/>
          </w:r>
          <w:r w:rsidRPr="00227727">
            <w:rPr>
              <w:rFonts w:ascii="Arial" w:hAnsi="Arial" w:cs="Arial"/>
              <w:sz w:val="24"/>
              <w:szCs w:val="24"/>
            </w:rPr>
            <w:instrText xml:space="preserve"> CITATION Wri05 \l 1033 </w:instrText>
          </w:r>
          <w:r w:rsidRPr="00227727">
            <w:rPr>
              <w:rFonts w:ascii="Arial" w:hAnsi="Arial" w:cs="Arial"/>
              <w:sz w:val="24"/>
              <w:szCs w:val="24"/>
            </w:rPr>
            <w:fldChar w:fldCharType="separate"/>
          </w:r>
          <w:r w:rsidRPr="00227727">
            <w:rPr>
              <w:rFonts w:ascii="Arial" w:hAnsi="Arial" w:cs="Arial"/>
              <w:noProof/>
              <w:sz w:val="24"/>
              <w:szCs w:val="24"/>
            </w:rPr>
            <w:t>(Wright, 2005)</w:t>
          </w:r>
          <w:r w:rsidRPr="00227727">
            <w:rPr>
              <w:rFonts w:ascii="Arial" w:hAnsi="Arial" w:cs="Arial"/>
              <w:sz w:val="24"/>
              <w:szCs w:val="24"/>
            </w:rPr>
            <w:fldChar w:fldCharType="end"/>
          </w:r>
        </w:sdtContent>
      </w:sdt>
      <w:r w:rsidRPr="00227727">
        <w:rPr>
          <w:rFonts w:ascii="Arial" w:hAnsi="Arial" w:cs="Arial"/>
          <w:sz w:val="24"/>
          <w:szCs w:val="24"/>
        </w:rPr>
        <w:t xml:space="preserve">. The data will then be categorised, coded and then transferred to the SPSS and Smart PLS 4 software for analysis. </w:t>
      </w:r>
    </w:p>
    <w:p w14:paraId="471B69D2" w14:textId="77777777" w:rsidR="00227727" w:rsidRPr="00227727" w:rsidRDefault="00227727" w:rsidP="00227727">
      <w:pPr>
        <w:pStyle w:val="Heading3"/>
        <w:rPr>
          <w:rFonts w:ascii="Arial" w:hAnsi="Arial" w:cs="Arial"/>
        </w:rPr>
      </w:pPr>
      <w:r w:rsidRPr="00227727">
        <w:rPr>
          <w:rFonts w:ascii="Arial" w:hAnsi="Arial" w:cs="Arial"/>
        </w:rPr>
        <w:t>Statistical Technique</w:t>
      </w:r>
    </w:p>
    <w:p w14:paraId="01B767D9" w14:textId="77777777" w:rsidR="00227727" w:rsidRPr="00227727" w:rsidRDefault="00227727" w:rsidP="00227727">
      <w:pPr>
        <w:spacing w:line="360" w:lineRule="auto"/>
        <w:jc w:val="both"/>
        <w:rPr>
          <w:rFonts w:ascii="Arial" w:hAnsi="Arial" w:cs="Arial"/>
          <w:sz w:val="24"/>
          <w:szCs w:val="24"/>
        </w:rPr>
      </w:pPr>
      <w:r w:rsidRPr="00227727">
        <w:rPr>
          <w:rFonts w:ascii="Arial" w:hAnsi="Arial" w:cs="Arial"/>
          <w:sz w:val="24"/>
          <w:szCs w:val="24"/>
        </w:rPr>
        <w:t>This study uses SPSS to analyse demographic and descriptive statistics, which helps explain sample characteristics and summarise key variables. Many quantitative studies use SPSS because of its user-friendly interface and robust descriptive statistical analysis capabilities (Pallant, 2020). This study uses SPSS to accurately report demographic variables like age, gender, job role, and organisational affiliation, which contextualize the findings. Descriptive statistics provide an initial overview of the dataset, identify patterns, and prepare it for more advanced statistical analysis, according to Hair et al. (2017) and Tabachnick and Fidell (2019). Understanding the sample distribution and verifying data quality, such as missing values or outliers, can affect subsequent analyses.</w:t>
      </w:r>
    </w:p>
    <w:p w14:paraId="7417990A" w14:textId="77777777" w:rsidR="00227727" w:rsidRPr="00227727" w:rsidRDefault="00227727" w:rsidP="00227727">
      <w:pPr>
        <w:spacing w:after="0" w:line="360" w:lineRule="auto"/>
        <w:jc w:val="both"/>
        <w:rPr>
          <w:rFonts w:ascii="Arial" w:hAnsi="Arial" w:cs="Arial"/>
          <w:color w:val="000000" w:themeColor="text1"/>
          <w:sz w:val="24"/>
          <w:szCs w:val="24"/>
        </w:rPr>
      </w:pPr>
      <w:r w:rsidRPr="00227727">
        <w:rPr>
          <w:rFonts w:ascii="Arial" w:hAnsi="Arial" w:cs="Arial"/>
          <w:color w:val="000000" w:themeColor="text1"/>
          <w:sz w:val="24"/>
          <w:szCs w:val="24"/>
        </w:rPr>
        <w:lastRenderedPageBreak/>
        <w:t>Smart PLS 4, a cutting-edge Partial Least Squares-based SEM software, is used to test hypotheses in this study. Smart PLS efficiently handles reflective and formative measurement models, making it ideal for complex models with mediating and moderating variables (Hair et al., 2019). Smart PLS is better for this study than covariance-based SEM tools like AMOS or LISREL because it is more robust to small sample sizes and does not require strict normality assumptions (Henseler et al., 2015). Smart PLS can reliably estimate parameter values and assess direct, indirect, and interaction effects, as shown by Sabuhari et al. (2020) and Alnoor et al. (2022) studies on HR practices and employee performance. Advanced model fit evaluation tools like the standardised root mean square residual (SRMR) and R-squared value are available in this software to assess the research model explanatory power.</w:t>
      </w:r>
    </w:p>
    <w:p w14:paraId="48571117" w14:textId="77777777" w:rsidR="00227727" w:rsidRPr="00227727" w:rsidRDefault="00227727" w:rsidP="00227727">
      <w:pPr>
        <w:spacing w:after="0" w:line="360" w:lineRule="auto"/>
        <w:ind w:firstLine="720"/>
        <w:jc w:val="both"/>
        <w:rPr>
          <w:rFonts w:ascii="Arial" w:hAnsi="Arial" w:cs="Arial"/>
          <w:color w:val="000000" w:themeColor="text1"/>
          <w:sz w:val="24"/>
          <w:szCs w:val="24"/>
        </w:rPr>
      </w:pPr>
      <w:r w:rsidRPr="00227727">
        <w:rPr>
          <w:rFonts w:ascii="Arial" w:hAnsi="Arial" w:cs="Arial"/>
          <w:color w:val="000000" w:themeColor="text1"/>
          <w:sz w:val="24"/>
          <w:szCs w:val="24"/>
        </w:rPr>
        <w:t>SPSS for descriptive analysis and Smart PLS for SEM ensure a rigorous, quantitative research-best approach. SPSS describes sample characteristics and initial variable relationships, but Smart PLS tests the hypothesised model, including mediating and moderating effects. Sarstedt et al. (2020) noted that integrating these tools allows for data analysis, making the study descriptive and explanatory. This study examines multidimensional constructs like smarter working and wellbeing, so the ability to analyse hierarchical models like second-order constructs is particularly useful. The study uses these tools to ensure robust, reliable, and generalisable findings across the population.</w:t>
      </w:r>
    </w:p>
    <w:p w14:paraId="4F3784E2" w14:textId="77777777" w:rsidR="00227727" w:rsidRPr="00227727" w:rsidRDefault="00227727" w:rsidP="00227727">
      <w:pPr>
        <w:spacing w:line="360" w:lineRule="auto"/>
        <w:ind w:firstLine="720"/>
        <w:jc w:val="both"/>
        <w:rPr>
          <w:rFonts w:ascii="Arial" w:hAnsi="Arial" w:cs="Arial"/>
          <w:color w:val="000000" w:themeColor="text1"/>
          <w:sz w:val="24"/>
          <w:szCs w:val="24"/>
        </w:rPr>
      </w:pPr>
      <w:r w:rsidRPr="00227727">
        <w:rPr>
          <w:rFonts w:ascii="Arial" w:hAnsi="Arial" w:cs="Arial"/>
          <w:color w:val="000000" w:themeColor="text1"/>
          <w:sz w:val="24"/>
          <w:szCs w:val="24"/>
        </w:rPr>
        <w:t>Finally, SPSS and Smart PLS 4 provide a strong methodological framework for this study. SPSS helps analyse demographic and descriptive data to reveal sample composition and trends. Smart PLS permits hypothesis testing, evaluating complex relationships, and validating the theoretical model. Several scholars, including Hair et al. (2019) and Sarstedt et al. (2020), recommend this dual approach to ensure methodological rigor and improve the validity and reliability. The study meets its goals and adds to the growing literature on advanced statistical methods in organisational research using these tools.</w:t>
      </w:r>
    </w:p>
    <w:p w14:paraId="1FF1B0AA" w14:textId="77777777" w:rsidR="00227727" w:rsidRPr="00227727" w:rsidRDefault="00227727" w:rsidP="00227727">
      <w:pPr>
        <w:spacing w:line="360" w:lineRule="auto"/>
        <w:rPr>
          <w:rFonts w:ascii="Arial" w:hAnsi="Arial" w:cs="Arial"/>
          <w:b/>
          <w:sz w:val="24"/>
          <w:szCs w:val="24"/>
        </w:rPr>
      </w:pPr>
    </w:p>
    <w:p w14:paraId="16132614" w14:textId="77777777" w:rsidR="00227727" w:rsidRPr="00227727" w:rsidRDefault="00227727" w:rsidP="00227727">
      <w:pPr>
        <w:pStyle w:val="Heading2"/>
        <w:rPr>
          <w:rFonts w:ascii="Arial" w:hAnsi="Arial" w:cs="Arial"/>
          <w:b/>
          <w:sz w:val="24"/>
          <w:szCs w:val="24"/>
        </w:rPr>
      </w:pPr>
    </w:p>
    <w:p w14:paraId="77A88935" w14:textId="77777777" w:rsidR="00227727" w:rsidRPr="00227727" w:rsidRDefault="00227727" w:rsidP="00227727">
      <w:pPr>
        <w:pStyle w:val="Heading2"/>
        <w:rPr>
          <w:rFonts w:ascii="Arial" w:hAnsi="Arial" w:cs="Arial"/>
          <w:b/>
          <w:sz w:val="24"/>
          <w:szCs w:val="24"/>
        </w:rPr>
      </w:pPr>
    </w:p>
    <w:p w14:paraId="17A49C16" w14:textId="77777777" w:rsidR="00227727" w:rsidRPr="00227727" w:rsidRDefault="00227727" w:rsidP="00227727">
      <w:pPr>
        <w:rPr>
          <w:rFonts w:ascii="Arial" w:eastAsiaTheme="majorEastAsia" w:hAnsi="Arial" w:cs="Arial"/>
          <w:b/>
          <w:bCs/>
          <w:sz w:val="24"/>
          <w:szCs w:val="24"/>
        </w:rPr>
      </w:pPr>
      <w:r w:rsidRPr="00227727">
        <w:rPr>
          <w:rFonts w:ascii="Arial" w:hAnsi="Arial" w:cs="Arial"/>
          <w:sz w:val="24"/>
          <w:szCs w:val="24"/>
        </w:rPr>
        <w:br w:type="page"/>
      </w:r>
    </w:p>
    <w:p w14:paraId="2104A5C7" w14:textId="77777777" w:rsidR="00227727" w:rsidRPr="00227727" w:rsidRDefault="00227727" w:rsidP="00227727">
      <w:pPr>
        <w:pStyle w:val="Heading2"/>
        <w:rPr>
          <w:rFonts w:ascii="Arial" w:hAnsi="Arial" w:cs="Arial"/>
        </w:rPr>
      </w:pPr>
      <w:bookmarkStart w:id="13" w:name="_Toc197072220"/>
      <w:r w:rsidRPr="00227727">
        <w:rPr>
          <w:rFonts w:ascii="Arial" w:hAnsi="Arial" w:cs="Arial"/>
        </w:rPr>
        <w:lastRenderedPageBreak/>
        <w:t>RESULTS</w:t>
      </w:r>
      <w:bookmarkEnd w:id="13"/>
    </w:p>
    <w:p w14:paraId="4A587618" w14:textId="77777777" w:rsidR="00227727" w:rsidRPr="00227727" w:rsidRDefault="00227727" w:rsidP="00227727">
      <w:pPr>
        <w:pStyle w:val="Heading4"/>
        <w:spacing w:after="0" w:line="360" w:lineRule="auto"/>
        <w:jc w:val="both"/>
        <w:rPr>
          <w:rFonts w:ascii="Arial" w:hAnsi="Arial" w:cs="Arial"/>
          <w:i w:val="0"/>
          <w:color w:val="000000" w:themeColor="text1"/>
        </w:rPr>
      </w:pPr>
      <w:r w:rsidRPr="00227727">
        <w:rPr>
          <w:rFonts w:ascii="Arial" w:hAnsi="Arial" w:cs="Arial"/>
          <w:i w:val="0"/>
          <w:color w:val="000000" w:themeColor="text1"/>
        </w:rPr>
        <w:t>This chapter analyses the findings, examining the relationships between key variables using structural equation modelling. It begins with a demographic analysis, which provides information about the sample's composition, such as organisational affiliation, job roles, work experience, and educational background. The measurement model is then evaluated to ensure construct validity, reliability, and discriminant validity, confirming that the measurement scales used in the study are statistically valid. The model fit indices are calculated, indicating that the structural model is well-specified and matches the observed data.</w:t>
      </w:r>
    </w:p>
    <w:p w14:paraId="3EB75667" w14:textId="77777777" w:rsidR="00227727" w:rsidRPr="00227727" w:rsidRDefault="00227727" w:rsidP="00227727">
      <w:pPr>
        <w:pStyle w:val="Heading4"/>
        <w:spacing w:line="360" w:lineRule="auto"/>
        <w:rPr>
          <w:rFonts w:ascii="Arial" w:hAnsi="Arial" w:cs="Arial"/>
          <w:i w:val="0"/>
        </w:rPr>
      </w:pPr>
      <w:r w:rsidRPr="00227727">
        <w:rPr>
          <w:rFonts w:ascii="Arial" w:hAnsi="Arial" w:cs="Arial"/>
          <w:i w:val="0"/>
        </w:rPr>
        <w:t>Demographic Analysis</w:t>
      </w:r>
    </w:p>
    <w:p w14:paraId="1A7A8589"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The demographic of the study sample highlights important characteristics such as organizational affiliation, role distribution, employment nature, and work flexibility. Understanding these factors is necessary to interpret the broader implications of smarter working, including its impact on employee well-being and job performance. The results provide a representative sample of employees from Network Rail (185; 44.9%) and Transport for London (TfL) (227; 55.1%), allowing for a more nuanced discussion of how organizational and individual characteristics influence workplace dynamics. The majority of respondents (330; 80.1%) live in London, with smaller proportions in the East of England (22; 5.3%), West Midlands (17; 4.1%), East Midlands (14; 3.4%), and South East (29; 7.0%), indicating a workforce that is primarily concentrated in the capital.</w:t>
      </w:r>
    </w:p>
    <w:p w14:paraId="6961A39F"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In terms of job functions, the most respondents are in IT (93; 22.6%), Sales &amp; Marketing (73; 17.7%), and Administration (41; 10.0%), demonstrating the importance of digital transformation and customer engagement.  Other notable roles include strategy and change (38; 9.2%), communication (35; 8.5%), finance (30; 7.3%), customer service (28; 6.8%), and human resources (24; 5.8%).  Smaller percentages are found in Operations (18; 4.4%), Health &amp; Safety (11; 2.7%), Legal (9; 2.2%), and Engineering (12; 2.9%). Employees (247; 60.0%) make up the majority of the workforce, followed by supervisors (84; 20.4%) and senior managers (59; 14.3%).  Apprentices/Work Placement Managers (22; 5.3%) are the smallest group.</w:t>
      </w:r>
    </w:p>
    <w:p w14:paraId="61CEF635"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A notable finding is that only 142 respondents (34.5%) report having flexibility regarding how, when, and where they work, while 270 (65.5%) report a lack of autonomy.  This suggests that a sizable portion of the workforce continues to follow rigid work structures despite the growing adoption of smarter working practices.  The majority (260; 63.1%) prefer hybrid work arrangements, with 112 (27.2%) working in fixed desk-based roles and 40 (9.7%) as front-line remote employees.  Most employees have extensive work experience, with 128 (31.1%) working for 3-5 years, 115 (27.9%) for 1-3 years, 80 (19.4%) for less than a year, 46 (11.2%) for 5-10 years, and 43 (10.4%) for more than ten years.  In terms of education, 251 (60.9%) have a bachelor's degree, followed by 87 (21.1%) with a master's degree, 40 (9.7%) with A-levels, 22 (5.3%) with a diploma, and 12 (2.9%) with a doctoral degree.  The preferred work mode leans heavily toward remote work, with 268 (65.0%) preferring fully remote arrangements and 144 (35.0%) preferring fully office-based work.  This is consistent with </w:t>
      </w:r>
      <w:r w:rsidRPr="00227727">
        <w:rPr>
          <w:rFonts w:ascii="Arial" w:hAnsi="Arial" w:cs="Arial"/>
          <w:sz w:val="24"/>
          <w:szCs w:val="24"/>
          <w:lang w:bidi="ta-IN"/>
        </w:rPr>
        <w:lastRenderedPageBreak/>
        <w:t>broader shifts in workplace expectations and the growing demand for flexibility in modern organizations.</w:t>
      </w:r>
    </w:p>
    <w:p w14:paraId="5BC83B39"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4.1.</w:t>
      </w:r>
      <w:r w:rsidRPr="00227727">
        <w:rPr>
          <w:rFonts w:ascii="Arial" w:hAnsi="Arial" w:cs="Arial"/>
          <w:sz w:val="24"/>
          <w:szCs w:val="24"/>
          <w:lang w:bidi="ta-IN"/>
        </w:rPr>
        <w:t xml:space="preserve"> Demographic statistics</w:t>
      </w:r>
    </w:p>
    <w:tbl>
      <w:tblPr>
        <w:tblStyle w:val="ListTable6Colourful"/>
        <w:tblW w:w="5000" w:type="pct"/>
        <w:tblLook w:val="0620" w:firstRow="1" w:lastRow="0" w:firstColumn="0" w:lastColumn="0" w:noHBand="1" w:noVBand="1"/>
      </w:tblPr>
      <w:tblGrid>
        <w:gridCol w:w="3083"/>
        <w:gridCol w:w="4313"/>
        <w:gridCol w:w="1830"/>
        <w:gridCol w:w="1540"/>
      </w:tblGrid>
      <w:tr w:rsidR="00227727" w:rsidRPr="00227727" w14:paraId="4AD2DF95" w14:textId="77777777" w:rsidTr="00E772F3">
        <w:trPr>
          <w:cnfStyle w:val="100000000000" w:firstRow="1" w:lastRow="0" w:firstColumn="0" w:lastColumn="0" w:oddVBand="0" w:evenVBand="0" w:oddHBand="0" w:evenHBand="0" w:firstRowFirstColumn="0" w:firstRowLastColumn="0" w:lastRowFirstColumn="0" w:lastRowLastColumn="0"/>
        </w:trPr>
        <w:tc>
          <w:tcPr>
            <w:tcW w:w="1432" w:type="pct"/>
            <w:hideMark/>
          </w:tcPr>
          <w:p w14:paraId="2B94F01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Question</w:t>
            </w:r>
          </w:p>
        </w:tc>
        <w:tc>
          <w:tcPr>
            <w:tcW w:w="2003" w:type="pct"/>
            <w:hideMark/>
          </w:tcPr>
          <w:p w14:paraId="0BCBA24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Categories</w:t>
            </w:r>
          </w:p>
        </w:tc>
        <w:tc>
          <w:tcPr>
            <w:tcW w:w="850" w:type="pct"/>
            <w:hideMark/>
          </w:tcPr>
          <w:p w14:paraId="1E1C9A2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Frequency (N)</w:t>
            </w:r>
          </w:p>
        </w:tc>
        <w:tc>
          <w:tcPr>
            <w:tcW w:w="715" w:type="pct"/>
            <w:hideMark/>
          </w:tcPr>
          <w:p w14:paraId="4A521A9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Percent (%)</w:t>
            </w:r>
          </w:p>
        </w:tc>
      </w:tr>
      <w:tr w:rsidR="00227727" w:rsidRPr="00227727" w14:paraId="1D8AF10A" w14:textId="77777777" w:rsidTr="00E772F3">
        <w:tc>
          <w:tcPr>
            <w:tcW w:w="1432" w:type="pct"/>
            <w:hideMark/>
          </w:tcPr>
          <w:p w14:paraId="16D830F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Organisation</w:t>
            </w:r>
          </w:p>
        </w:tc>
        <w:tc>
          <w:tcPr>
            <w:tcW w:w="2003" w:type="pct"/>
            <w:hideMark/>
          </w:tcPr>
          <w:p w14:paraId="7EDB6BC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Network Rail</w:t>
            </w:r>
          </w:p>
        </w:tc>
        <w:tc>
          <w:tcPr>
            <w:tcW w:w="850" w:type="pct"/>
            <w:hideMark/>
          </w:tcPr>
          <w:p w14:paraId="42C2179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185</w:t>
            </w:r>
          </w:p>
        </w:tc>
        <w:tc>
          <w:tcPr>
            <w:tcW w:w="715" w:type="pct"/>
            <w:hideMark/>
          </w:tcPr>
          <w:p w14:paraId="2B0FF08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44.9</w:t>
            </w:r>
          </w:p>
        </w:tc>
      </w:tr>
      <w:tr w:rsidR="00227727" w:rsidRPr="00227727" w14:paraId="3A7E3DED" w14:textId="77777777" w:rsidTr="00E772F3">
        <w:tc>
          <w:tcPr>
            <w:tcW w:w="1432" w:type="pct"/>
            <w:hideMark/>
          </w:tcPr>
          <w:p w14:paraId="764DD47C"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2DDA0A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Transport for London</w:t>
            </w:r>
          </w:p>
        </w:tc>
        <w:tc>
          <w:tcPr>
            <w:tcW w:w="850" w:type="pct"/>
            <w:hideMark/>
          </w:tcPr>
          <w:p w14:paraId="2B6991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227</w:t>
            </w:r>
          </w:p>
        </w:tc>
        <w:tc>
          <w:tcPr>
            <w:tcW w:w="715" w:type="pct"/>
            <w:hideMark/>
          </w:tcPr>
          <w:p w14:paraId="0BF1134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55.1</w:t>
            </w:r>
          </w:p>
        </w:tc>
      </w:tr>
      <w:tr w:rsidR="00227727" w:rsidRPr="00227727" w14:paraId="47E303A9" w14:textId="77777777" w:rsidTr="00E772F3">
        <w:tc>
          <w:tcPr>
            <w:tcW w:w="1432" w:type="pct"/>
            <w:hideMark/>
          </w:tcPr>
          <w:p w14:paraId="181A757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Region/Location</w:t>
            </w:r>
          </w:p>
        </w:tc>
        <w:tc>
          <w:tcPr>
            <w:tcW w:w="2003" w:type="pct"/>
            <w:hideMark/>
          </w:tcPr>
          <w:p w14:paraId="4A19B4F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East of England</w:t>
            </w:r>
          </w:p>
        </w:tc>
        <w:tc>
          <w:tcPr>
            <w:tcW w:w="850" w:type="pct"/>
            <w:hideMark/>
          </w:tcPr>
          <w:p w14:paraId="57414EC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22</w:t>
            </w:r>
          </w:p>
        </w:tc>
        <w:tc>
          <w:tcPr>
            <w:tcW w:w="715" w:type="pct"/>
            <w:hideMark/>
          </w:tcPr>
          <w:p w14:paraId="7F785F0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5.3</w:t>
            </w:r>
          </w:p>
        </w:tc>
      </w:tr>
      <w:tr w:rsidR="00227727" w:rsidRPr="00227727" w14:paraId="00739D19" w14:textId="77777777" w:rsidTr="00E772F3">
        <w:tc>
          <w:tcPr>
            <w:tcW w:w="1432" w:type="pct"/>
            <w:hideMark/>
          </w:tcPr>
          <w:p w14:paraId="6B103BFD"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68DA51B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London</w:t>
            </w:r>
          </w:p>
        </w:tc>
        <w:tc>
          <w:tcPr>
            <w:tcW w:w="850" w:type="pct"/>
            <w:hideMark/>
          </w:tcPr>
          <w:p w14:paraId="1A7CEC0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330</w:t>
            </w:r>
          </w:p>
        </w:tc>
        <w:tc>
          <w:tcPr>
            <w:tcW w:w="715" w:type="pct"/>
            <w:hideMark/>
          </w:tcPr>
          <w:p w14:paraId="4576FA7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80.1</w:t>
            </w:r>
          </w:p>
        </w:tc>
      </w:tr>
      <w:tr w:rsidR="00227727" w:rsidRPr="00227727" w14:paraId="14CAB2F4" w14:textId="77777777" w:rsidTr="00E772F3">
        <w:tc>
          <w:tcPr>
            <w:tcW w:w="1432" w:type="pct"/>
            <w:hideMark/>
          </w:tcPr>
          <w:p w14:paraId="6E5E70D7"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381BE11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West Midlands</w:t>
            </w:r>
          </w:p>
        </w:tc>
        <w:tc>
          <w:tcPr>
            <w:tcW w:w="850" w:type="pct"/>
            <w:hideMark/>
          </w:tcPr>
          <w:p w14:paraId="2098084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17</w:t>
            </w:r>
          </w:p>
        </w:tc>
        <w:tc>
          <w:tcPr>
            <w:tcW w:w="715" w:type="pct"/>
            <w:hideMark/>
          </w:tcPr>
          <w:p w14:paraId="03815C9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4.1</w:t>
            </w:r>
          </w:p>
        </w:tc>
      </w:tr>
      <w:tr w:rsidR="00227727" w:rsidRPr="00227727" w14:paraId="5199B2C0" w14:textId="77777777" w:rsidTr="00E772F3">
        <w:tc>
          <w:tcPr>
            <w:tcW w:w="1432" w:type="pct"/>
            <w:hideMark/>
          </w:tcPr>
          <w:p w14:paraId="3F3FEBCB"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1245AA9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East Midlands</w:t>
            </w:r>
          </w:p>
        </w:tc>
        <w:tc>
          <w:tcPr>
            <w:tcW w:w="850" w:type="pct"/>
            <w:hideMark/>
          </w:tcPr>
          <w:p w14:paraId="15ADD5D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14</w:t>
            </w:r>
          </w:p>
        </w:tc>
        <w:tc>
          <w:tcPr>
            <w:tcW w:w="715" w:type="pct"/>
            <w:hideMark/>
          </w:tcPr>
          <w:p w14:paraId="48F09BE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3.4</w:t>
            </w:r>
          </w:p>
        </w:tc>
      </w:tr>
      <w:tr w:rsidR="00227727" w:rsidRPr="00227727" w14:paraId="2DE3B217" w14:textId="77777777" w:rsidTr="00E772F3">
        <w:tc>
          <w:tcPr>
            <w:tcW w:w="1432" w:type="pct"/>
            <w:hideMark/>
          </w:tcPr>
          <w:p w14:paraId="106B54AE"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009C646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South East</w:t>
            </w:r>
          </w:p>
        </w:tc>
        <w:tc>
          <w:tcPr>
            <w:tcW w:w="850" w:type="pct"/>
            <w:hideMark/>
          </w:tcPr>
          <w:p w14:paraId="0AC4074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29</w:t>
            </w:r>
          </w:p>
        </w:tc>
        <w:tc>
          <w:tcPr>
            <w:tcW w:w="715" w:type="pct"/>
            <w:hideMark/>
          </w:tcPr>
          <w:p w14:paraId="1D57019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7.0</w:t>
            </w:r>
          </w:p>
        </w:tc>
      </w:tr>
      <w:tr w:rsidR="00227727" w:rsidRPr="00227727" w14:paraId="0454AFD8" w14:textId="77777777" w:rsidTr="00E772F3">
        <w:tc>
          <w:tcPr>
            <w:tcW w:w="1432" w:type="pct"/>
            <w:hideMark/>
          </w:tcPr>
          <w:p w14:paraId="1333E41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Role/Function</w:t>
            </w:r>
          </w:p>
        </w:tc>
        <w:tc>
          <w:tcPr>
            <w:tcW w:w="2003" w:type="pct"/>
            <w:hideMark/>
          </w:tcPr>
          <w:p w14:paraId="48C27D1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w:t>
            </w:r>
          </w:p>
        </w:tc>
        <w:tc>
          <w:tcPr>
            <w:tcW w:w="850" w:type="pct"/>
            <w:hideMark/>
          </w:tcPr>
          <w:p w14:paraId="6844DF8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24</w:t>
            </w:r>
          </w:p>
        </w:tc>
        <w:tc>
          <w:tcPr>
            <w:tcW w:w="715" w:type="pct"/>
            <w:hideMark/>
          </w:tcPr>
          <w:p w14:paraId="354071A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5.8</w:t>
            </w:r>
          </w:p>
        </w:tc>
      </w:tr>
      <w:tr w:rsidR="00227727" w:rsidRPr="00227727" w14:paraId="6E02365A" w14:textId="77777777" w:rsidTr="00E772F3">
        <w:tc>
          <w:tcPr>
            <w:tcW w:w="1432" w:type="pct"/>
            <w:hideMark/>
          </w:tcPr>
          <w:p w14:paraId="3FEAB055"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97B95E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Finance</w:t>
            </w:r>
          </w:p>
        </w:tc>
        <w:tc>
          <w:tcPr>
            <w:tcW w:w="850" w:type="pct"/>
            <w:hideMark/>
          </w:tcPr>
          <w:p w14:paraId="0533984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30</w:t>
            </w:r>
          </w:p>
        </w:tc>
        <w:tc>
          <w:tcPr>
            <w:tcW w:w="715" w:type="pct"/>
            <w:hideMark/>
          </w:tcPr>
          <w:p w14:paraId="2765232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7.3</w:t>
            </w:r>
          </w:p>
        </w:tc>
      </w:tr>
      <w:tr w:rsidR="00227727" w:rsidRPr="00227727" w14:paraId="2E07F71B" w14:textId="77777777" w:rsidTr="00E772F3">
        <w:tc>
          <w:tcPr>
            <w:tcW w:w="1432" w:type="pct"/>
            <w:hideMark/>
          </w:tcPr>
          <w:p w14:paraId="65EC1AD2"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DCDDB5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Sales &amp; Marketing</w:t>
            </w:r>
          </w:p>
        </w:tc>
        <w:tc>
          <w:tcPr>
            <w:tcW w:w="850" w:type="pct"/>
            <w:hideMark/>
          </w:tcPr>
          <w:p w14:paraId="4D650F9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73</w:t>
            </w:r>
          </w:p>
        </w:tc>
        <w:tc>
          <w:tcPr>
            <w:tcW w:w="715" w:type="pct"/>
            <w:hideMark/>
          </w:tcPr>
          <w:p w14:paraId="391321E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17.7</w:t>
            </w:r>
          </w:p>
        </w:tc>
      </w:tr>
      <w:tr w:rsidR="00227727" w:rsidRPr="00227727" w14:paraId="0C58B2CE" w14:textId="77777777" w:rsidTr="00E772F3">
        <w:tc>
          <w:tcPr>
            <w:tcW w:w="1432" w:type="pct"/>
            <w:hideMark/>
          </w:tcPr>
          <w:p w14:paraId="029F8108"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3C25C88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Communication</w:t>
            </w:r>
          </w:p>
        </w:tc>
        <w:tc>
          <w:tcPr>
            <w:tcW w:w="850" w:type="pct"/>
            <w:hideMark/>
          </w:tcPr>
          <w:p w14:paraId="108BAF5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35</w:t>
            </w:r>
          </w:p>
        </w:tc>
        <w:tc>
          <w:tcPr>
            <w:tcW w:w="715" w:type="pct"/>
            <w:hideMark/>
          </w:tcPr>
          <w:p w14:paraId="59D2F04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8.5</w:t>
            </w:r>
          </w:p>
        </w:tc>
      </w:tr>
      <w:tr w:rsidR="00227727" w:rsidRPr="00227727" w14:paraId="14A69479" w14:textId="77777777" w:rsidTr="00E772F3">
        <w:tc>
          <w:tcPr>
            <w:tcW w:w="1432" w:type="pct"/>
            <w:hideMark/>
          </w:tcPr>
          <w:p w14:paraId="41D0489A"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6E7E058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Strategy &amp; Change</w:t>
            </w:r>
          </w:p>
        </w:tc>
        <w:tc>
          <w:tcPr>
            <w:tcW w:w="850" w:type="pct"/>
            <w:hideMark/>
          </w:tcPr>
          <w:p w14:paraId="73A6CDC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38</w:t>
            </w:r>
          </w:p>
        </w:tc>
        <w:tc>
          <w:tcPr>
            <w:tcW w:w="715" w:type="pct"/>
            <w:hideMark/>
          </w:tcPr>
          <w:p w14:paraId="61304A7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9.2</w:t>
            </w:r>
          </w:p>
        </w:tc>
      </w:tr>
      <w:tr w:rsidR="00227727" w:rsidRPr="00227727" w14:paraId="545548C4" w14:textId="77777777" w:rsidTr="00E772F3">
        <w:tc>
          <w:tcPr>
            <w:tcW w:w="1432" w:type="pct"/>
            <w:hideMark/>
          </w:tcPr>
          <w:p w14:paraId="559AB17C"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A97BF7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IT</w:t>
            </w:r>
          </w:p>
        </w:tc>
        <w:tc>
          <w:tcPr>
            <w:tcW w:w="850" w:type="pct"/>
            <w:hideMark/>
          </w:tcPr>
          <w:p w14:paraId="1A99BEE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93</w:t>
            </w:r>
          </w:p>
        </w:tc>
        <w:tc>
          <w:tcPr>
            <w:tcW w:w="715" w:type="pct"/>
            <w:hideMark/>
          </w:tcPr>
          <w:p w14:paraId="173E83D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22.6</w:t>
            </w:r>
          </w:p>
        </w:tc>
      </w:tr>
      <w:tr w:rsidR="00227727" w:rsidRPr="00227727" w14:paraId="1E558C7C" w14:textId="77777777" w:rsidTr="00E772F3">
        <w:tc>
          <w:tcPr>
            <w:tcW w:w="1432" w:type="pct"/>
            <w:hideMark/>
          </w:tcPr>
          <w:p w14:paraId="66D569BB"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44625A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Administration</w:t>
            </w:r>
          </w:p>
        </w:tc>
        <w:tc>
          <w:tcPr>
            <w:tcW w:w="850" w:type="pct"/>
            <w:hideMark/>
          </w:tcPr>
          <w:p w14:paraId="321FD8D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41</w:t>
            </w:r>
          </w:p>
        </w:tc>
        <w:tc>
          <w:tcPr>
            <w:tcW w:w="715" w:type="pct"/>
            <w:hideMark/>
          </w:tcPr>
          <w:p w14:paraId="0ACE105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10.0</w:t>
            </w:r>
          </w:p>
        </w:tc>
      </w:tr>
      <w:tr w:rsidR="00227727" w:rsidRPr="00227727" w14:paraId="3C3EE645" w14:textId="77777777" w:rsidTr="00E772F3">
        <w:tc>
          <w:tcPr>
            <w:tcW w:w="1432" w:type="pct"/>
            <w:hideMark/>
          </w:tcPr>
          <w:p w14:paraId="52FB3156"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09A0843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Customer Service</w:t>
            </w:r>
          </w:p>
        </w:tc>
        <w:tc>
          <w:tcPr>
            <w:tcW w:w="850" w:type="pct"/>
            <w:hideMark/>
          </w:tcPr>
          <w:p w14:paraId="6DFDE36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28</w:t>
            </w:r>
          </w:p>
        </w:tc>
        <w:tc>
          <w:tcPr>
            <w:tcW w:w="715" w:type="pct"/>
            <w:hideMark/>
          </w:tcPr>
          <w:p w14:paraId="400934E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6.8</w:t>
            </w:r>
          </w:p>
        </w:tc>
      </w:tr>
      <w:tr w:rsidR="00227727" w:rsidRPr="00227727" w14:paraId="58E8924E" w14:textId="77777777" w:rsidTr="00E772F3">
        <w:tc>
          <w:tcPr>
            <w:tcW w:w="1432" w:type="pct"/>
            <w:hideMark/>
          </w:tcPr>
          <w:p w14:paraId="5414BDEE"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3AC73DA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Operations</w:t>
            </w:r>
          </w:p>
        </w:tc>
        <w:tc>
          <w:tcPr>
            <w:tcW w:w="850" w:type="pct"/>
            <w:hideMark/>
          </w:tcPr>
          <w:p w14:paraId="0894587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18</w:t>
            </w:r>
          </w:p>
        </w:tc>
        <w:tc>
          <w:tcPr>
            <w:tcW w:w="715" w:type="pct"/>
            <w:hideMark/>
          </w:tcPr>
          <w:p w14:paraId="3E12237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4.4</w:t>
            </w:r>
          </w:p>
        </w:tc>
      </w:tr>
      <w:tr w:rsidR="00227727" w:rsidRPr="00227727" w14:paraId="4567E9C7" w14:textId="77777777" w:rsidTr="00E772F3">
        <w:tc>
          <w:tcPr>
            <w:tcW w:w="1432" w:type="pct"/>
            <w:hideMark/>
          </w:tcPr>
          <w:p w14:paraId="6D41AC00"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0B706AE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Health &amp; Safety</w:t>
            </w:r>
          </w:p>
        </w:tc>
        <w:tc>
          <w:tcPr>
            <w:tcW w:w="850" w:type="pct"/>
            <w:hideMark/>
          </w:tcPr>
          <w:p w14:paraId="72C1A66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11</w:t>
            </w:r>
          </w:p>
        </w:tc>
        <w:tc>
          <w:tcPr>
            <w:tcW w:w="715" w:type="pct"/>
            <w:hideMark/>
          </w:tcPr>
          <w:p w14:paraId="0A1AE8F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2.7</w:t>
            </w:r>
          </w:p>
        </w:tc>
      </w:tr>
      <w:tr w:rsidR="00227727" w:rsidRPr="00227727" w14:paraId="06D565D5" w14:textId="77777777" w:rsidTr="00E772F3">
        <w:tc>
          <w:tcPr>
            <w:tcW w:w="1432" w:type="pct"/>
            <w:hideMark/>
          </w:tcPr>
          <w:p w14:paraId="3E804AEA"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5AC6C1C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Legal</w:t>
            </w:r>
          </w:p>
        </w:tc>
        <w:tc>
          <w:tcPr>
            <w:tcW w:w="850" w:type="pct"/>
            <w:hideMark/>
          </w:tcPr>
          <w:p w14:paraId="160405A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9</w:t>
            </w:r>
          </w:p>
        </w:tc>
        <w:tc>
          <w:tcPr>
            <w:tcW w:w="715" w:type="pct"/>
            <w:hideMark/>
          </w:tcPr>
          <w:p w14:paraId="3359607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2.2</w:t>
            </w:r>
          </w:p>
        </w:tc>
      </w:tr>
      <w:tr w:rsidR="00227727" w:rsidRPr="00227727" w14:paraId="2AA4D6D2" w14:textId="77777777" w:rsidTr="00E772F3">
        <w:tc>
          <w:tcPr>
            <w:tcW w:w="1432" w:type="pct"/>
            <w:hideMark/>
          </w:tcPr>
          <w:p w14:paraId="43B0583F"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5F3647B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Engineering</w:t>
            </w:r>
          </w:p>
        </w:tc>
        <w:tc>
          <w:tcPr>
            <w:tcW w:w="850" w:type="pct"/>
            <w:hideMark/>
          </w:tcPr>
          <w:p w14:paraId="406B429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12</w:t>
            </w:r>
          </w:p>
        </w:tc>
        <w:tc>
          <w:tcPr>
            <w:tcW w:w="715" w:type="pct"/>
            <w:hideMark/>
          </w:tcPr>
          <w:p w14:paraId="6DE5F99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2.9</w:t>
            </w:r>
          </w:p>
        </w:tc>
      </w:tr>
      <w:tr w:rsidR="00227727" w:rsidRPr="00227727" w14:paraId="3712A73A" w14:textId="77777777" w:rsidTr="00E772F3">
        <w:tc>
          <w:tcPr>
            <w:tcW w:w="1432" w:type="pct"/>
            <w:hideMark/>
          </w:tcPr>
          <w:p w14:paraId="10D1FC5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Nature of Employment</w:t>
            </w:r>
          </w:p>
        </w:tc>
        <w:tc>
          <w:tcPr>
            <w:tcW w:w="2003" w:type="pct"/>
            <w:hideMark/>
          </w:tcPr>
          <w:p w14:paraId="62CAB5C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Apprentice / Work Placement Manager</w:t>
            </w:r>
          </w:p>
        </w:tc>
        <w:tc>
          <w:tcPr>
            <w:tcW w:w="850" w:type="pct"/>
            <w:hideMark/>
          </w:tcPr>
          <w:p w14:paraId="15AD60A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22</w:t>
            </w:r>
          </w:p>
        </w:tc>
        <w:tc>
          <w:tcPr>
            <w:tcW w:w="715" w:type="pct"/>
            <w:hideMark/>
          </w:tcPr>
          <w:p w14:paraId="37619EB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5.3</w:t>
            </w:r>
          </w:p>
        </w:tc>
      </w:tr>
      <w:tr w:rsidR="00227727" w:rsidRPr="00227727" w14:paraId="46C3EF5B" w14:textId="77777777" w:rsidTr="00E772F3">
        <w:tc>
          <w:tcPr>
            <w:tcW w:w="1432" w:type="pct"/>
            <w:hideMark/>
          </w:tcPr>
          <w:p w14:paraId="61A62041"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3D3042B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Supervisor</w:t>
            </w:r>
          </w:p>
        </w:tc>
        <w:tc>
          <w:tcPr>
            <w:tcW w:w="850" w:type="pct"/>
            <w:hideMark/>
          </w:tcPr>
          <w:p w14:paraId="7F7B5B6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84</w:t>
            </w:r>
          </w:p>
        </w:tc>
        <w:tc>
          <w:tcPr>
            <w:tcW w:w="715" w:type="pct"/>
            <w:hideMark/>
          </w:tcPr>
          <w:p w14:paraId="3A6EC68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20.4</w:t>
            </w:r>
          </w:p>
        </w:tc>
      </w:tr>
      <w:tr w:rsidR="00227727" w:rsidRPr="00227727" w14:paraId="7A506CF4" w14:textId="77777777" w:rsidTr="00E772F3">
        <w:tc>
          <w:tcPr>
            <w:tcW w:w="1432" w:type="pct"/>
            <w:hideMark/>
          </w:tcPr>
          <w:p w14:paraId="65C2519E"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6AC2194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Employee</w:t>
            </w:r>
          </w:p>
        </w:tc>
        <w:tc>
          <w:tcPr>
            <w:tcW w:w="850" w:type="pct"/>
            <w:hideMark/>
          </w:tcPr>
          <w:p w14:paraId="334F99F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247</w:t>
            </w:r>
          </w:p>
        </w:tc>
        <w:tc>
          <w:tcPr>
            <w:tcW w:w="715" w:type="pct"/>
            <w:hideMark/>
          </w:tcPr>
          <w:p w14:paraId="0FD1AFC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60.0</w:t>
            </w:r>
          </w:p>
        </w:tc>
      </w:tr>
      <w:tr w:rsidR="00227727" w:rsidRPr="00227727" w14:paraId="79240101" w14:textId="77777777" w:rsidTr="00E772F3">
        <w:tc>
          <w:tcPr>
            <w:tcW w:w="1432" w:type="pct"/>
            <w:hideMark/>
          </w:tcPr>
          <w:p w14:paraId="7A70D7C7"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5612F95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Senior Manager</w:t>
            </w:r>
          </w:p>
        </w:tc>
        <w:tc>
          <w:tcPr>
            <w:tcW w:w="850" w:type="pct"/>
            <w:hideMark/>
          </w:tcPr>
          <w:p w14:paraId="30F41E7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59</w:t>
            </w:r>
          </w:p>
        </w:tc>
        <w:tc>
          <w:tcPr>
            <w:tcW w:w="715" w:type="pct"/>
            <w:hideMark/>
          </w:tcPr>
          <w:p w14:paraId="2041033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14.3</w:t>
            </w:r>
          </w:p>
        </w:tc>
      </w:tr>
      <w:tr w:rsidR="00227727" w:rsidRPr="00227727" w14:paraId="3D28342B" w14:textId="77777777" w:rsidTr="00E772F3">
        <w:tc>
          <w:tcPr>
            <w:tcW w:w="1432" w:type="pct"/>
            <w:hideMark/>
          </w:tcPr>
          <w:p w14:paraId="754788E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Work autonomy</w:t>
            </w:r>
          </w:p>
        </w:tc>
        <w:tc>
          <w:tcPr>
            <w:tcW w:w="2003" w:type="pct"/>
            <w:hideMark/>
          </w:tcPr>
          <w:p w14:paraId="545B3A2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Yes</w:t>
            </w:r>
          </w:p>
        </w:tc>
        <w:tc>
          <w:tcPr>
            <w:tcW w:w="850" w:type="pct"/>
            <w:hideMark/>
          </w:tcPr>
          <w:p w14:paraId="4AD3450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142</w:t>
            </w:r>
          </w:p>
        </w:tc>
        <w:tc>
          <w:tcPr>
            <w:tcW w:w="715" w:type="pct"/>
            <w:hideMark/>
          </w:tcPr>
          <w:p w14:paraId="260C33B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34.5</w:t>
            </w:r>
          </w:p>
        </w:tc>
      </w:tr>
      <w:tr w:rsidR="00227727" w:rsidRPr="00227727" w14:paraId="42280D27" w14:textId="77777777" w:rsidTr="00E772F3">
        <w:tc>
          <w:tcPr>
            <w:tcW w:w="1432" w:type="pct"/>
            <w:hideMark/>
          </w:tcPr>
          <w:p w14:paraId="4A661CCD"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4A6BD3B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No</w:t>
            </w:r>
          </w:p>
        </w:tc>
        <w:tc>
          <w:tcPr>
            <w:tcW w:w="850" w:type="pct"/>
            <w:hideMark/>
          </w:tcPr>
          <w:p w14:paraId="25A6EFC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270</w:t>
            </w:r>
          </w:p>
        </w:tc>
        <w:tc>
          <w:tcPr>
            <w:tcW w:w="715" w:type="pct"/>
            <w:hideMark/>
          </w:tcPr>
          <w:p w14:paraId="1048566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65.5</w:t>
            </w:r>
          </w:p>
        </w:tc>
      </w:tr>
      <w:tr w:rsidR="00227727" w:rsidRPr="00227727" w14:paraId="35FC8ECA" w14:textId="77777777" w:rsidTr="00E772F3">
        <w:tc>
          <w:tcPr>
            <w:tcW w:w="1432" w:type="pct"/>
            <w:hideMark/>
          </w:tcPr>
          <w:p w14:paraId="158D798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Work location</w:t>
            </w:r>
          </w:p>
        </w:tc>
        <w:tc>
          <w:tcPr>
            <w:tcW w:w="2003" w:type="pct"/>
            <w:hideMark/>
          </w:tcPr>
          <w:p w14:paraId="6F7CA44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Fixed Desk-Based</w:t>
            </w:r>
          </w:p>
        </w:tc>
        <w:tc>
          <w:tcPr>
            <w:tcW w:w="850" w:type="pct"/>
            <w:hideMark/>
          </w:tcPr>
          <w:p w14:paraId="1BB84A3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112</w:t>
            </w:r>
          </w:p>
        </w:tc>
        <w:tc>
          <w:tcPr>
            <w:tcW w:w="715" w:type="pct"/>
            <w:hideMark/>
          </w:tcPr>
          <w:p w14:paraId="0804AA0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27.2</w:t>
            </w:r>
          </w:p>
        </w:tc>
      </w:tr>
      <w:tr w:rsidR="00227727" w:rsidRPr="00227727" w14:paraId="1FF0790A" w14:textId="77777777" w:rsidTr="00E772F3">
        <w:tc>
          <w:tcPr>
            <w:tcW w:w="1432" w:type="pct"/>
            <w:hideMark/>
          </w:tcPr>
          <w:p w14:paraId="34FE9B99"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6A4099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Hybrid</w:t>
            </w:r>
          </w:p>
        </w:tc>
        <w:tc>
          <w:tcPr>
            <w:tcW w:w="850" w:type="pct"/>
            <w:hideMark/>
          </w:tcPr>
          <w:p w14:paraId="7E11750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260</w:t>
            </w:r>
          </w:p>
        </w:tc>
        <w:tc>
          <w:tcPr>
            <w:tcW w:w="715" w:type="pct"/>
            <w:hideMark/>
          </w:tcPr>
          <w:p w14:paraId="7EC3285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63.1</w:t>
            </w:r>
          </w:p>
        </w:tc>
      </w:tr>
      <w:tr w:rsidR="00227727" w:rsidRPr="00227727" w14:paraId="4E4A3628" w14:textId="77777777" w:rsidTr="00E772F3">
        <w:tc>
          <w:tcPr>
            <w:tcW w:w="1432" w:type="pct"/>
            <w:hideMark/>
          </w:tcPr>
          <w:p w14:paraId="676034D8"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70D835D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Front-line Remote</w:t>
            </w:r>
          </w:p>
        </w:tc>
        <w:tc>
          <w:tcPr>
            <w:tcW w:w="850" w:type="pct"/>
            <w:hideMark/>
          </w:tcPr>
          <w:p w14:paraId="3197084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40</w:t>
            </w:r>
          </w:p>
        </w:tc>
        <w:tc>
          <w:tcPr>
            <w:tcW w:w="715" w:type="pct"/>
            <w:hideMark/>
          </w:tcPr>
          <w:p w14:paraId="0A2526B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9.7</w:t>
            </w:r>
          </w:p>
        </w:tc>
      </w:tr>
      <w:tr w:rsidR="00227727" w:rsidRPr="00227727" w14:paraId="15211353" w14:textId="77777777" w:rsidTr="00E772F3">
        <w:tc>
          <w:tcPr>
            <w:tcW w:w="1432" w:type="pct"/>
            <w:hideMark/>
          </w:tcPr>
          <w:p w14:paraId="100C7EE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Length of employment</w:t>
            </w:r>
          </w:p>
        </w:tc>
        <w:tc>
          <w:tcPr>
            <w:tcW w:w="2003" w:type="pct"/>
            <w:hideMark/>
          </w:tcPr>
          <w:p w14:paraId="4A6D9D7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Less than 1 year</w:t>
            </w:r>
          </w:p>
        </w:tc>
        <w:tc>
          <w:tcPr>
            <w:tcW w:w="850" w:type="pct"/>
            <w:hideMark/>
          </w:tcPr>
          <w:p w14:paraId="6A3DC7F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80</w:t>
            </w:r>
          </w:p>
        </w:tc>
        <w:tc>
          <w:tcPr>
            <w:tcW w:w="715" w:type="pct"/>
            <w:hideMark/>
          </w:tcPr>
          <w:p w14:paraId="5F2E7A9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19.4</w:t>
            </w:r>
          </w:p>
        </w:tc>
      </w:tr>
      <w:tr w:rsidR="00227727" w:rsidRPr="00227727" w14:paraId="66B29742" w14:textId="77777777" w:rsidTr="00E772F3">
        <w:tc>
          <w:tcPr>
            <w:tcW w:w="1432" w:type="pct"/>
            <w:hideMark/>
          </w:tcPr>
          <w:p w14:paraId="30EF1A4A"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5FD0592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1–3 years</w:t>
            </w:r>
          </w:p>
        </w:tc>
        <w:tc>
          <w:tcPr>
            <w:tcW w:w="850" w:type="pct"/>
            <w:hideMark/>
          </w:tcPr>
          <w:p w14:paraId="56F8356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115</w:t>
            </w:r>
          </w:p>
        </w:tc>
        <w:tc>
          <w:tcPr>
            <w:tcW w:w="715" w:type="pct"/>
            <w:hideMark/>
          </w:tcPr>
          <w:p w14:paraId="0B26B32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27.9</w:t>
            </w:r>
          </w:p>
        </w:tc>
      </w:tr>
      <w:tr w:rsidR="00227727" w:rsidRPr="00227727" w14:paraId="0E45EC87" w14:textId="77777777" w:rsidTr="00E772F3">
        <w:tc>
          <w:tcPr>
            <w:tcW w:w="1432" w:type="pct"/>
            <w:hideMark/>
          </w:tcPr>
          <w:p w14:paraId="6C61A780"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7963C23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3–5 years</w:t>
            </w:r>
          </w:p>
        </w:tc>
        <w:tc>
          <w:tcPr>
            <w:tcW w:w="850" w:type="pct"/>
            <w:hideMark/>
          </w:tcPr>
          <w:p w14:paraId="031FE88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128</w:t>
            </w:r>
          </w:p>
        </w:tc>
        <w:tc>
          <w:tcPr>
            <w:tcW w:w="715" w:type="pct"/>
            <w:hideMark/>
          </w:tcPr>
          <w:p w14:paraId="7A28E77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31.1</w:t>
            </w:r>
          </w:p>
        </w:tc>
      </w:tr>
      <w:tr w:rsidR="00227727" w:rsidRPr="00227727" w14:paraId="1EDBC6FA" w14:textId="77777777" w:rsidTr="00E772F3">
        <w:tc>
          <w:tcPr>
            <w:tcW w:w="1432" w:type="pct"/>
            <w:hideMark/>
          </w:tcPr>
          <w:p w14:paraId="2B8FA4FA"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40B8CB8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5-10 years</w:t>
            </w:r>
          </w:p>
        </w:tc>
        <w:tc>
          <w:tcPr>
            <w:tcW w:w="850" w:type="pct"/>
            <w:hideMark/>
          </w:tcPr>
          <w:p w14:paraId="0C66046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46</w:t>
            </w:r>
          </w:p>
        </w:tc>
        <w:tc>
          <w:tcPr>
            <w:tcW w:w="715" w:type="pct"/>
            <w:hideMark/>
          </w:tcPr>
          <w:p w14:paraId="40C3493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11.2</w:t>
            </w:r>
          </w:p>
        </w:tc>
      </w:tr>
      <w:tr w:rsidR="00227727" w:rsidRPr="00227727" w14:paraId="25B7DE54" w14:textId="77777777" w:rsidTr="00E772F3">
        <w:tc>
          <w:tcPr>
            <w:tcW w:w="1432" w:type="pct"/>
            <w:hideMark/>
          </w:tcPr>
          <w:p w14:paraId="706D270E"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68033C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10+ years</w:t>
            </w:r>
          </w:p>
        </w:tc>
        <w:tc>
          <w:tcPr>
            <w:tcW w:w="850" w:type="pct"/>
            <w:hideMark/>
          </w:tcPr>
          <w:p w14:paraId="1F50391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43</w:t>
            </w:r>
          </w:p>
        </w:tc>
        <w:tc>
          <w:tcPr>
            <w:tcW w:w="715" w:type="pct"/>
            <w:hideMark/>
          </w:tcPr>
          <w:p w14:paraId="63AAACE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10.4</w:t>
            </w:r>
          </w:p>
        </w:tc>
      </w:tr>
      <w:tr w:rsidR="00227727" w:rsidRPr="00227727" w14:paraId="6D48585D" w14:textId="77777777" w:rsidTr="00E772F3">
        <w:tc>
          <w:tcPr>
            <w:tcW w:w="1432" w:type="pct"/>
            <w:hideMark/>
          </w:tcPr>
          <w:p w14:paraId="19D9102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Age Group</w:t>
            </w:r>
          </w:p>
        </w:tc>
        <w:tc>
          <w:tcPr>
            <w:tcW w:w="2003" w:type="pct"/>
            <w:hideMark/>
          </w:tcPr>
          <w:p w14:paraId="374CDD7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Under 25</w:t>
            </w:r>
          </w:p>
        </w:tc>
        <w:tc>
          <w:tcPr>
            <w:tcW w:w="850" w:type="pct"/>
            <w:hideMark/>
          </w:tcPr>
          <w:p w14:paraId="1AD8F46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65</w:t>
            </w:r>
          </w:p>
        </w:tc>
        <w:tc>
          <w:tcPr>
            <w:tcW w:w="715" w:type="pct"/>
            <w:hideMark/>
          </w:tcPr>
          <w:p w14:paraId="1024C28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15.8</w:t>
            </w:r>
          </w:p>
        </w:tc>
      </w:tr>
      <w:tr w:rsidR="00227727" w:rsidRPr="00227727" w14:paraId="12964BDB" w14:textId="77777777" w:rsidTr="00E772F3">
        <w:tc>
          <w:tcPr>
            <w:tcW w:w="1432" w:type="pct"/>
            <w:hideMark/>
          </w:tcPr>
          <w:p w14:paraId="0B72CA05"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4DBCDA6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25–34</w:t>
            </w:r>
          </w:p>
        </w:tc>
        <w:tc>
          <w:tcPr>
            <w:tcW w:w="850" w:type="pct"/>
            <w:hideMark/>
          </w:tcPr>
          <w:p w14:paraId="6112E7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130</w:t>
            </w:r>
          </w:p>
        </w:tc>
        <w:tc>
          <w:tcPr>
            <w:tcW w:w="715" w:type="pct"/>
            <w:hideMark/>
          </w:tcPr>
          <w:p w14:paraId="2D39845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31.6</w:t>
            </w:r>
          </w:p>
        </w:tc>
      </w:tr>
      <w:tr w:rsidR="00227727" w:rsidRPr="00227727" w14:paraId="5A843AD8" w14:textId="77777777" w:rsidTr="00E772F3">
        <w:tc>
          <w:tcPr>
            <w:tcW w:w="1432" w:type="pct"/>
            <w:hideMark/>
          </w:tcPr>
          <w:p w14:paraId="2AE8D306"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40F4451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35–44</w:t>
            </w:r>
          </w:p>
        </w:tc>
        <w:tc>
          <w:tcPr>
            <w:tcW w:w="850" w:type="pct"/>
            <w:hideMark/>
          </w:tcPr>
          <w:p w14:paraId="760AD71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95</w:t>
            </w:r>
          </w:p>
        </w:tc>
        <w:tc>
          <w:tcPr>
            <w:tcW w:w="715" w:type="pct"/>
            <w:hideMark/>
          </w:tcPr>
          <w:p w14:paraId="18E9C05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23.1</w:t>
            </w:r>
          </w:p>
        </w:tc>
      </w:tr>
      <w:tr w:rsidR="00227727" w:rsidRPr="00227727" w14:paraId="4E062427" w14:textId="77777777" w:rsidTr="00E772F3">
        <w:tc>
          <w:tcPr>
            <w:tcW w:w="1432" w:type="pct"/>
            <w:hideMark/>
          </w:tcPr>
          <w:p w14:paraId="1DD252A1"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8B89C0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45–54</w:t>
            </w:r>
          </w:p>
        </w:tc>
        <w:tc>
          <w:tcPr>
            <w:tcW w:w="850" w:type="pct"/>
            <w:hideMark/>
          </w:tcPr>
          <w:p w14:paraId="4D4621C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73</w:t>
            </w:r>
          </w:p>
        </w:tc>
        <w:tc>
          <w:tcPr>
            <w:tcW w:w="715" w:type="pct"/>
            <w:hideMark/>
          </w:tcPr>
          <w:p w14:paraId="168A2DA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17.7</w:t>
            </w:r>
          </w:p>
        </w:tc>
      </w:tr>
      <w:tr w:rsidR="00227727" w:rsidRPr="00227727" w14:paraId="29DE2E06" w14:textId="77777777" w:rsidTr="00E772F3">
        <w:tc>
          <w:tcPr>
            <w:tcW w:w="1432" w:type="pct"/>
            <w:hideMark/>
          </w:tcPr>
          <w:p w14:paraId="5CA5C6C1"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5EC6CB1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55+</w:t>
            </w:r>
          </w:p>
        </w:tc>
        <w:tc>
          <w:tcPr>
            <w:tcW w:w="850" w:type="pct"/>
            <w:hideMark/>
          </w:tcPr>
          <w:p w14:paraId="0B6AA15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49</w:t>
            </w:r>
          </w:p>
        </w:tc>
        <w:tc>
          <w:tcPr>
            <w:tcW w:w="715" w:type="pct"/>
            <w:hideMark/>
          </w:tcPr>
          <w:p w14:paraId="14BCCBA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11.9</w:t>
            </w:r>
          </w:p>
        </w:tc>
      </w:tr>
      <w:tr w:rsidR="00227727" w:rsidRPr="00227727" w14:paraId="34CD3068" w14:textId="77777777" w:rsidTr="00E772F3">
        <w:tc>
          <w:tcPr>
            <w:tcW w:w="1432" w:type="pct"/>
            <w:hideMark/>
          </w:tcPr>
          <w:p w14:paraId="4B9859E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Educational Qualification</w:t>
            </w:r>
          </w:p>
        </w:tc>
        <w:tc>
          <w:tcPr>
            <w:tcW w:w="2003" w:type="pct"/>
            <w:hideMark/>
          </w:tcPr>
          <w:p w14:paraId="2EBE7FF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A-levels</w:t>
            </w:r>
          </w:p>
        </w:tc>
        <w:tc>
          <w:tcPr>
            <w:tcW w:w="850" w:type="pct"/>
            <w:hideMark/>
          </w:tcPr>
          <w:p w14:paraId="5D40CAC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40</w:t>
            </w:r>
          </w:p>
        </w:tc>
        <w:tc>
          <w:tcPr>
            <w:tcW w:w="715" w:type="pct"/>
            <w:hideMark/>
          </w:tcPr>
          <w:p w14:paraId="19B0F5A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9.7</w:t>
            </w:r>
          </w:p>
        </w:tc>
      </w:tr>
      <w:tr w:rsidR="00227727" w:rsidRPr="00227727" w14:paraId="49A446C9" w14:textId="77777777" w:rsidTr="00E772F3">
        <w:tc>
          <w:tcPr>
            <w:tcW w:w="1432" w:type="pct"/>
            <w:hideMark/>
          </w:tcPr>
          <w:p w14:paraId="3EC6E1B8"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6ECE24C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Diploma</w:t>
            </w:r>
          </w:p>
        </w:tc>
        <w:tc>
          <w:tcPr>
            <w:tcW w:w="850" w:type="pct"/>
            <w:hideMark/>
          </w:tcPr>
          <w:p w14:paraId="756718A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22</w:t>
            </w:r>
          </w:p>
        </w:tc>
        <w:tc>
          <w:tcPr>
            <w:tcW w:w="715" w:type="pct"/>
            <w:hideMark/>
          </w:tcPr>
          <w:p w14:paraId="0F29977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5.3</w:t>
            </w:r>
          </w:p>
        </w:tc>
      </w:tr>
      <w:tr w:rsidR="00227727" w:rsidRPr="00227727" w14:paraId="539A4DAF" w14:textId="77777777" w:rsidTr="00E772F3">
        <w:tc>
          <w:tcPr>
            <w:tcW w:w="1432" w:type="pct"/>
            <w:hideMark/>
          </w:tcPr>
          <w:p w14:paraId="3E3C5A59"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2C62CD3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Bachelor’s Degree</w:t>
            </w:r>
          </w:p>
        </w:tc>
        <w:tc>
          <w:tcPr>
            <w:tcW w:w="850" w:type="pct"/>
            <w:hideMark/>
          </w:tcPr>
          <w:p w14:paraId="6566A7D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251</w:t>
            </w:r>
          </w:p>
        </w:tc>
        <w:tc>
          <w:tcPr>
            <w:tcW w:w="715" w:type="pct"/>
            <w:hideMark/>
          </w:tcPr>
          <w:p w14:paraId="2E42CC0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60.9</w:t>
            </w:r>
          </w:p>
        </w:tc>
      </w:tr>
      <w:tr w:rsidR="00227727" w:rsidRPr="00227727" w14:paraId="16C0CAB5" w14:textId="77777777" w:rsidTr="00E772F3">
        <w:tc>
          <w:tcPr>
            <w:tcW w:w="1432" w:type="pct"/>
            <w:hideMark/>
          </w:tcPr>
          <w:p w14:paraId="61A3194D"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490E79E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Master’s Degree</w:t>
            </w:r>
          </w:p>
        </w:tc>
        <w:tc>
          <w:tcPr>
            <w:tcW w:w="850" w:type="pct"/>
            <w:hideMark/>
          </w:tcPr>
          <w:p w14:paraId="4B68B34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87</w:t>
            </w:r>
          </w:p>
        </w:tc>
        <w:tc>
          <w:tcPr>
            <w:tcW w:w="715" w:type="pct"/>
            <w:hideMark/>
          </w:tcPr>
          <w:p w14:paraId="0AB32C8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21.1</w:t>
            </w:r>
          </w:p>
        </w:tc>
      </w:tr>
      <w:tr w:rsidR="00227727" w:rsidRPr="00227727" w14:paraId="221C2019" w14:textId="77777777" w:rsidTr="00E772F3">
        <w:tc>
          <w:tcPr>
            <w:tcW w:w="1432" w:type="pct"/>
            <w:hideMark/>
          </w:tcPr>
          <w:p w14:paraId="7D2D3F0B"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4BD8792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Doctorate</w:t>
            </w:r>
          </w:p>
        </w:tc>
        <w:tc>
          <w:tcPr>
            <w:tcW w:w="850" w:type="pct"/>
            <w:hideMark/>
          </w:tcPr>
          <w:p w14:paraId="4AAD16F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12</w:t>
            </w:r>
          </w:p>
        </w:tc>
        <w:tc>
          <w:tcPr>
            <w:tcW w:w="715" w:type="pct"/>
            <w:hideMark/>
          </w:tcPr>
          <w:p w14:paraId="6D56482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2.9</w:t>
            </w:r>
          </w:p>
        </w:tc>
      </w:tr>
      <w:tr w:rsidR="00227727" w:rsidRPr="00227727" w14:paraId="28BF810F" w14:textId="77777777" w:rsidTr="00E772F3">
        <w:tc>
          <w:tcPr>
            <w:tcW w:w="1432" w:type="pct"/>
            <w:hideMark/>
          </w:tcPr>
          <w:p w14:paraId="2C081DA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Employment Duration</w:t>
            </w:r>
          </w:p>
        </w:tc>
        <w:tc>
          <w:tcPr>
            <w:tcW w:w="2003" w:type="pct"/>
            <w:hideMark/>
          </w:tcPr>
          <w:p w14:paraId="4E66367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Less than 1 year</w:t>
            </w:r>
          </w:p>
        </w:tc>
        <w:tc>
          <w:tcPr>
            <w:tcW w:w="850" w:type="pct"/>
            <w:hideMark/>
          </w:tcPr>
          <w:p w14:paraId="4244E9F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87</w:t>
            </w:r>
          </w:p>
        </w:tc>
        <w:tc>
          <w:tcPr>
            <w:tcW w:w="715" w:type="pct"/>
            <w:hideMark/>
          </w:tcPr>
          <w:p w14:paraId="68D0AE6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21.1</w:t>
            </w:r>
          </w:p>
        </w:tc>
      </w:tr>
      <w:tr w:rsidR="00227727" w:rsidRPr="00227727" w14:paraId="428B82DC" w14:textId="77777777" w:rsidTr="00E772F3">
        <w:tc>
          <w:tcPr>
            <w:tcW w:w="1432" w:type="pct"/>
            <w:hideMark/>
          </w:tcPr>
          <w:p w14:paraId="55C6D58B"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47FB1F1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1–3 years</w:t>
            </w:r>
          </w:p>
        </w:tc>
        <w:tc>
          <w:tcPr>
            <w:tcW w:w="850" w:type="pct"/>
            <w:hideMark/>
          </w:tcPr>
          <w:p w14:paraId="07E3CCC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168</w:t>
            </w:r>
          </w:p>
        </w:tc>
        <w:tc>
          <w:tcPr>
            <w:tcW w:w="715" w:type="pct"/>
            <w:hideMark/>
          </w:tcPr>
          <w:p w14:paraId="4932F27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40.8</w:t>
            </w:r>
          </w:p>
        </w:tc>
      </w:tr>
      <w:tr w:rsidR="00227727" w:rsidRPr="00227727" w14:paraId="42FA7B0E" w14:textId="77777777" w:rsidTr="00E772F3">
        <w:tc>
          <w:tcPr>
            <w:tcW w:w="1432" w:type="pct"/>
            <w:hideMark/>
          </w:tcPr>
          <w:p w14:paraId="7D281965"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066331F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3–5 years</w:t>
            </w:r>
          </w:p>
        </w:tc>
        <w:tc>
          <w:tcPr>
            <w:tcW w:w="850" w:type="pct"/>
            <w:hideMark/>
          </w:tcPr>
          <w:p w14:paraId="2681081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157</w:t>
            </w:r>
          </w:p>
        </w:tc>
        <w:tc>
          <w:tcPr>
            <w:tcW w:w="715" w:type="pct"/>
            <w:hideMark/>
          </w:tcPr>
          <w:p w14:paraId="3F1FD35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38.1</w:t>
            </w:r>
          </w:p>
        </w:tc>
      </w:tr>
      <w:tr w:rsidR="00227727" w:rsidRPr="00227727" w14:paraId="4E8C397D" w14:textId="77777777" w:rsidTr="00E772F3">
        <w:tc>
          <w:tcPr>
            <w:tcW w:w="1432" w:type="pct"/>
            <w:hideMark/>
          </w:tcPr>
          <w:p w14:paraId="1E4F9D8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Preferred Mode of Work</w:t>
            </w:r>
          </w:p>
        </w:tc>
        <w:tc>
          <w:tcPr>
            <w:tcW w:w="2003" w:type="pct"/>
            <w:hideMark/>
          </w:tcPr>
          <w:p w14:paraId="6F5A3A6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Fully Office-Based</w:t>
            </w:r>
          </w:p>
        </w:tc>
        <w:tc>
          <w:tcPr>
            <w:tcW w:w="850" w:type="pct"/>
            <w:hideMark/>
          </w:tcPr>
          <w:p w14:paraId="737F416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144</w:t>
            </w:r>
          </w:p>
        </w:tc>
        <w:tc>
          <w:tcPr>
            <w:tcW w:w="715" w:type="pct"/>
            <w:hideMark/>
          </w:tcPr>
          <w:p w14:paraId="73FD114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35.0</w:t>
            </w:r>
          </w:p>
        </w:tc>
      </w:tr>
      <w:tr w:rsidR="00227727" w:rsidRPr="00227727" w14:paraId="7A73179F" w14:textId="77777777" w:rsidTr="00E772F3">
        <w:tc>
          <w:tcPr>
            <w:tcW w:w="1432" w:type="pct"/>
            <w:hideMark/>
          </w:tcPr>
          <w:p w14:paraId="74865DE1" w14:textId="77777777" w:rsidR="00227727" w:rsidRPr="00227727" w:rsidRDefault="00227727" w:rsidP="00E772F3">
            <w:pPr>
              <w:spacing w:line="360" w:lineRule="auto"/>
              <w:rPr>
                <w:rFonts w:ascii="Arial" w:eastAsia="Times New Roman" w:hAnsi="Arial" w:cs="Arial"/>
                <w:sz w:val="22"/>
              </w:rPr>
            </w:pPr>
          </w:p>
        </w:tc>
        <w:tc>
          <w:tcPr>
            <w:tcW w:w="2003" w:type="pct"/>
            <w:hideMark/>
          </w:tcPr>
          <w:p w14:paraId="61CC690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Fully Remote</w:t>
            </w:r>
          </w:p>
        </w:tc>
        <w:tc>
          <w:tcPr>
            <w:tcW w:w="850" w:type="pct"/>
            <w:hideMark/>
          </w:tcPr>
          <w:p w14:paraId="79E6787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268</w:t>
            </w:r>
          </w:p>
        </w:tc>
        <w:tc>
          <w:tcPr>
            <w:tcW w:w="715" w:type="pct"/>
            <w:hideMark/>
          </w:tcPr>
          <w:p w14:paraId="19A8C3F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65.0</w:t>
            </w:r>
          </w:p>
        </w:tc>
      </w:tr>
    </w:tbl>
    <w:p w14:paraId="2C5E2BBE" w14:textId="77777777" w:rsidR="00227727" w:rsidRPr="00227727" w:rsidRDefault="00227727" w:rsidP="00227727">
      <w:pPr>
        <w:spacing w:line="360" w:lineRule="auto"/>
        <w:rPr>
          <w:rFonts w:ascii="Arial" w:hAnsi="Arial" w:cs="Arial"/>
          <w:lang w:bidi="ta-IN"/>
        </w:rPr>
      </w:pPr>
    </w:p>
    <w:p w14:paraId="33C0F0F7"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According to the demographic results, the employees were equally split between Network Rail and Transport for London, a small majority of which were from the latter. Most of the respondents came from London; the South East, East of England, West Midlands, and East Midlands followed rather far apart. Professionally, the most often occurring groups were from IT, Sales and marketing, Administration, and Strategy and change; smaller numbers covered areas including Engineering, Legal, Health and safety, and Operations. The majority said they worked as employees; senior managers and supervisors accounted for a small portion, and apprentices or work placement managers made up another small group. The majority said they lacked work autonomy. Most of the employees were in hybrid roles when it came to their place of employment; front-line remote roles came second, followed by fixed desk-based work. Less people worked for longer periods; the length of employment displayed a rather balanced distribution among less than a year, one to three years, and three to five years. The majority of employees, age-wise, fell between 25 and 34, followed by 35 to 44, and smaller numbers from the under-25, 45 to 54, and 55+ age groups. Mostly at the bachelor's degree level, master's degrees followed; smaller percentages held A-levels, diplomas, or doctorates. Data on employment duration showed a great proportion within one to five years, closely matching the length of employment trends. Finally, when asked about their preferred working style, a notable majority chose remote work over those favoring a completely office-based arrangement.</w:t>
      </w:r>
    </w:p>
    <w:p w14:paraId="0BE8FE83" w14:textId="77777777" w:rsidR="00227727" w:rsidRPr="00227727" w:rsidRDefault="00227727" w:rsidP="00227727">
      <w:pPr>
        <w:pStyle w:val="Heading4"/>
        <w:spacing w:line="360" w:lineRule="auto"/>
        <w:rPr>
          <w:rFonts w:ascii="Arial" w:hAnsi="Arial" w:cs="Arial"/>
          <w:i w:val="0"/>
        </w:rPr>
      </w:pPr>
      <w:r w:rsidRPr="00227727">
        <w:rPr>
          <w:rFonts w:ascii="Arial" w:hAnsi="Arial" w:cs="Arial"/>
          <w:i w:val="0"/>
        </w:rPr>
        <w:t>Descriptive Statistics</w:t>
      </w:r>
    </w:p>
    <w:p w14:paraId="0478A5B6"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Table 4.2 shows that mean and standard deviation analysis better explains the central tendencies and variability in key demographic factors. The organisation variable has a mean of 1.55 (SD = 0.498), indicating that respondents are almost evenly divided between Network Rail and Transport for London, with a slight majority from TfL. The region/location mean of 6.11 (SD = 1.288) confirms that most participants live in London, with a lower representation from other regions.  The mean role/function is 5.38 (SD = 2.659), indicating that the dataset contains diverse job roles, with IT, sales and marketing, and administration being among the most represented.</w:t>
      </w:r>
    </w:p>
    <w:p w14:paraId="2379DA7C"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lastRenderedPageBreak/>
        <w:t>According to the mean of 2.83 (SD = 0.731), most respondents are employees rather than supervisors or senior managers.  Work autonomy, with a mean of 1.66 (SD = 0.476), demonstrates that many employees lack flexibility in how, when, and where they work.  Work location has a mean of 1.83 (SD = 0.582), indicating a preference for hybrid work arrangements rather than fixed desk-based or fully remote roles. The average length of employment is 2.65 years (SD = 1.212), indicating that most employees have been in their current roles for 3-5 years, with moderate variation in tenure.  Gender, with a mean of 1.47 (SD = 0.528), indicates a relatively balanced representation of male and female employees, with male respondents slightly outnumbering females.</w:t>
      </w:r>
    </w:p>
    <w:p w14:paraId="14BF96B3" w14:textId="54B75340"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The age group mean of 2.78 (SD = 1.248) indicates that most respondents are between the ages of 25 and 44, with fewer younger or older employees. The educational qualification, with a mean of 3.02 (SD = 0.878), confirms that most participants have at least a bachelor's degree, with a significant number also holding master's degrees.  With a mean of 2.17 (SD = 0.751), many respondents have been with their current employer for 1-5 years, indicating moderate job stability. Finally, with a mean of 1.65 (SD = 0.477), </w:t>
      </w:r>
      <w:r w:rsidR="00351EFC">
        <w:rPr>
          <w:rFonts w:ascii="Arial" w:hAnsi="Arial" w:cs="Arial"/>
          <w:sz w:val="24"/>
          <w:szCs w:val="24"/>
          <w:lang w:bidi="ta-IN"/>
        </w:rPr>
        <w:t>the</w:t>
      </w:r>
      <w:r w:rsidRPr="00227727">
        <w:rPr>
          <w:rFonts w:ascii="Arial" w:hAnsi="Arial" w:cs="Arial"/>
          <w:sz w:val="24"/>
          <w:szCs w:val="24"/>
          <w:lang w:bidi="ta-IN"/>
        </w:rPr>
        <w:t xml:space="preserve"> preferred work mode </w:t>
      </w:r>
      <w:r w:rsidR="00351EFC">
        <w:rPr>
          <w:rFonts w:ascii="Arial" w:hAnsi="Arial" w:cs="Arial"/>
          <w:sz w:val="24"/>
          <w:szCs w:val="24"/>
          <w:lang w:bidi="ta-IN"/>
        </w:rPr>
        <w:t>confirms</w:t>
      </w:r>
      <w:r w:rsidRPr="00227727">
        <w:rPr>
          <w:rFonts w:ascii="Arial" w:hAnsi="Arial" w:cs="Arial"/>
          <w:sz w:val="24"/>
          <w:szCs w:val="24"/>
          <w:lang w:bidi="ta-IN"/>
        </w:rPr>
        <w:t xml:space="preserve"> that most employees prefer fully remote work over a traditional office-based setup.  These findings provide a comprehensive demographic overview, contributing to a larger investigation into smarter working practices and their effects on employee well-being and job performance.</w:t>
      </w:r>
    </w:p>
    <w:p w14:paraId="150507BA"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4.2.</w:t>
      </w:r>
      <w:r w:rsidRPr="00227727">
        <w:rPr>
          <w:rFonts w:ascii="Arial" w:hAnsi="Arial" w:cs="Arial"/>
          <w:sz w:val="24"/>
          <w:szCs w:val="24"/>
          <w:lang w:bidi="ta-IN"/>
        </w:rPr>
        <w:t xml:space="preserve"> Mean and Standard Deviation</w:t>
      </w:r>
    </w:p>
    <w:tbl>
      <w:tblPr>
        <w:tblStyle w:val="ListTable6Colourful"/>
        <w:tblW w:w="5000" w:type="pct"/>
        <w:tblLook w:val="0620" w:firstRow="1" w:lastRow="0" w:firstColumn="0" w:lastColumn="0" w:noHBand="1" w:noVBand="1"/>
      </w:tblPr>
      <w:tblGrid>
        <w:gridCol w:w="7252"/>
        <w:gridCol w:w="1826"/>
        <w:gridCol w:w="1688"/>
      </w:tblGrid>
      <w:tr w:rsidR="00227727" w:rsidRPr="00227727" w14:paraId="53E10FF5" w14:textId="77777777" w:rsidTr="00E772F3">
        <w:trPr>
          <w:cnfStyle w:val="100000000000" w:firstRow="1" w:lastRow="0" w:firstColumn="0" w:lastColumn="0" w:oddVBand="0" w:evenVBand="0" w:oddHBand="0" w:evenHBand="0" w:firstRowFirstColumn="0" w:firstRowLastColumn="0" w:lastRowFirstColumn="0" w:lastRowLastColumn="0"/>
        </w:trPr>
        <w:tc>
          <w:tcPr>
            <w:tcW w:w="3261" w:type="pct"/>
            <w:hideMark/>
          </w:tcPr>
          <w:p w14:paraId="7D0634F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Demographics</w:t>
            </w:r>
          </w:p>
        </w:tc>
        <w:tc>
          <w:tcPr>
            <w:tcW w:w="821" w:type="pct"/>
            <w:hideMark/>
          </w:tcPr>
          <w:p w14:paraId="722B1C7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Mean</w:t>
            </w:r>
          </w:p>
        </w:tc>
        <w:tc>
          <w:tcPr>
            <w:tcW w:w="759" w:type="pct"/>
            <w:hideMark/>
          </w:tcPr>
          <w:p w14:paraId="7AEF92D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SD</w:t>
            </w:r>
          </w:p>
        </w:tc>
      </w:tr>
      <w:tr w:rsidR="00227727" w:rsidRPr="00227727" w14:paraId="3360326F" w14:textId="77777777" w:rsidTr="00E772F3">
        <w:tc>
          <w:tcPr>
            <w:tcW w:w="3261" w:type="pct"/>
            <w:hideMark/>
          </w:tcPr>
          <w:p w14:paraId="7C2DF95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Organisation</w:t>
            </w:r>
          </w:p>
        </w:tc>
        <w:tc>
          <w:tcPr>
            <w:tcW w:w="821" w:type="pct"/>
            <w:hideMark/>
          </w:tcPr>
          <w:p w14:paraId="0AC3D94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1.55</w:t>
            </w:r>
          </w:p>
        </w:tc>
        <w:tc>
          <w:tcPr>
            <w:tcW w:w="759" w:type="pct"/>
            <w:hideMark/>
          </w:tcPr>
          <w:p w14:paraId="167220C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0.498</w:t>
            </w:r>
          </w:p>
        </w:tc>
      </w:tr>
      <w:tr w:rsidR="00227727" w:rsidRPr="00227727" w14:paraId="345394F7" w14:textId="77777777" w:rsidTr="00E772F3">
        <w:tc>
          <w:tcPr>
            <w:tcW w:w="3261" w:type="pct"/>
            <w:hideMark/>
          </w:tcPr>
          <w:p w14:paraId="0C7B926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Region/Location</w:t>
            </w:r>
          </w:p>
        </w:tc>
        <w:tc>
          <w:tcPr>
            <w:tcW w:w="821" w:type="pct"/>
            <w:hideMark/>
          </w:tcPr>
          <w:p w14:paraId="7BAB8D1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6.11</w:t>
            </w:r>
          </w:p>
        </w:tc>
        <w:tc>
          <w:tcPr>
            <w:tcW w:w="759" w:type="pct"/>
            <w:hideMark/>
          </w:tcPr>
          <w:p w14:paraId="7F4FD2B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1.288</w:t>
            </w:r>
          </w:p>
        </w:tc>
      </w:tr>
      <w:tr w:rsidR="00227727" w:rsidRPr="00227727" w14:paraId="791E98B8" w14:textId="77777777" w:rsidTr="00E772F3">
        <w:tc>
          <w:tcPr>
            <w:tcW w:w="3261" w:type="pct"/>
            <w:hideMark/>
          </w:tcPr>
          <w:p w14:paraId="0586A38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Role/Function</w:t>
            </w:r>
          </w:p>
        </w:tc>
        <w:tc>
          <w:tcPr>
            <w:tcW w:w="821" w:type="pct"/>
            <w:hideMark/>
          </w:tcPr>
          <w:p w14:paraId="193BEC5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5.38</w:t>
            </w:r>
          </w:p>
        </w:tc>
        <w:tc>
          <w:tcPr>
            <w:tcW w:w="759" w:type="pct"/>
            <w:hideMark/>
          </w:tcPr>
          <w:p w14:paraId="2AE6F3A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2.659</w:t>
            </w:r>
          </w:p>
        </w:tc>
      </w:tr>
      <w:tr w:rsidR="00227727" w:rsidRPr="00227727" w14:paraId="12B57647" w14:textId="77777777" w:rsidTr="00E772F3">
        <w:tc>
          <w:tcPr>
            <w:tcW w:w="3261" w:type="pct"/>
            <w:hideMark/>
          </w:tcPr>
          <w:p w14:paraId="25D5D47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Nature of employment</w:t>
            </w:r>
          </w:p>
        </w:tc>
        <w:tc>
          <w:tcPr>
            <w:tcW w:w="821" w:type="pct"/>
            <w:hideMark/>
          </w:tcPr>
          <w:p w14:paraId="17458CD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2.83</w:t>
            </w:r>
          </w:p>
        </w:tc>
        <w:tc>
          <w:tcPr>
            <w:tcW w:w="759" w:type="pct"/>
            <w:hideMark/>
          </w:tcPr>
          <w:p w14:paraId="6237D36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0.731</w:t>
            </w:r>
          </w:p>
        </w:tc>
      </w:tr>
      <w:tr w:rsidR="00227727" w:rsidRPr="00227727" w14:paraId="4CEE65DB" w14:textId="77777777" w:rsidTr="00E772F3">
        <w:tc>
          <w:tcPr>
            <w:tcW w:w="3261" w:type="pct"/>
            <w:hideMark/>
          </w:tcPr>
          <w:p w14:paraId="5687383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Work autonomy</w:t>
            </w:r>
          </w:p>
        </w:tc>
        <w:tc>
          <w:tcPr>
            <w:tcW w:w="821" w:type="pct"/>
            <w:hideMark/>
          </w:tcPr>
          <w:p w14:paraId="1C8384B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1.66</w:t>
            </w:r>
          </w:p>
        </w:tc>
        <w:tc>
          <w:tcPr>
            <w:tcW w:w="759" w:type="pct"/>
            <w:hideMark/>
          </w:tcPr>
          <w:p w14:paraId="7C8672C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0.476</w:t>
            </w:r>
          </w:p>
        </w:tc>
      </w:tr>
      <w:tr w:rsidR="00227727" w:rsidRPr="00227727" w14:paraId="4EA77F45" w14:textId="77777777" w:rsidTr="00E772F3">
        <w:tc>
          <w:tcPr>
            <w:tcW w:w="3261" w:type="pct"/>
            <w:hideMark/>
          </w:tcPr>
          <w:p w14:paraId="70C65E7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Work location</w:t>
            </w:r>
          </w:p>
        </w:tc>
        <w:tc>
          <w:tcPr>
            <w:tcW w:w="821" w:type="pct"/>
            <w:hideMark/>
          </w:tcPr>
          <w:p w14:paraId="0524031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1.83</w:t>
            </w:r>
          </w:p>
        </w:tc>
        <w:tc>
          <w:tcPr>
            <w:tcW w:w="759" w:type="pct"/>
            <w:hideMark/>
          </w:tcPr>
          <w:p w14:paraId="5197FBE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0.582</w:t>
            </w:r>
          </w:p>
        </w:tc>
      </w:tr>
      <w:tr w:rsidR="00227727" w:rsidRPr="00227727" w14:paraId="0F7025A0" w14:textId="77777777" w:rsidTr="00E772F3">
        <w:tc>
          <w:tcPr>
            <w:tcW w:w="3261" w:type="pct"/>
            <w:hideMark/>
          </w:tcPr>
          <w:p w14:paraId="0ACA564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Length of employment</w:t>
            </w:r>
          </w:p>
        </w:tc>
        <w:tc>
          <w:tcPr>
            <w:tcW w:w="821" w:type="pct"/>
            <w:hideMark/>
          </w:tcPr>
          <w:p w14:paraId="0F5DB8D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2.65</w:t>
            </w:r>
          </w:p>
        </w:tc>
        <w:tc>
          <w:tcPr>
            <w:tcW w:w="759" w:type="pct"/>
            <w:hideMark/>
          </w:tcPr>
          <w:p w14:paraId="1987F28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1.212</w:t>
            </w:r>
          </w:p>
        </w:tc>
      </w:tr>
      <w:tr w:rsidR="00227727" w:rsidRPr="00227727" w14:paraId="2A63450E" w14:textId="77777777" w:rsidTr="00E772F3">
        <w:tc>
          <w:tcPr>
            <w:tcW w:w="3261" w:type="pct"/>
            <w:hideMark/>
          </w:tcPr>
          <w:p w14:paraId="5C6012E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Gender</w:t>
            </w:r>
          </w:p>
        </w:tc>
        <w:tc>
          <w:tcPr>
            <w:tcW w:w="821" w:type="pct"/>
            <w:hideMark/>
          </w:tcPr>
          <w:p w14:paraId="6CC25FC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1.47</w:t>
            </w:r>
          </w:p>
        </w:tc>
        <w:tc>
          <w:tcPr>
            <w:tcW w:w="759" w:type="pct"/>
            <w:hideMark/>
          </w:tcPr>
          <w:p w14:paraId="77E1BED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0.528</w:t>
            </w:r>
          </w:p>
        </w:tc>
      </w:tr>
      <w:tr w:rsidR="00227727" w:rsidRPr="00227727" w14:paraId="5AA3FD9B" w14:textId="77777777" w:rsidTr="00E772F3">
        <w:tc>
          <w:tcPr>
            <w:tcW w:w="3261" w:type="pct"/>
            <w:hideMark/>
          </w:tcPr>
          <w:p w14:paraId="3D5CE2C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Age group</w:t>
            </w:r>
          </w:p>
        </w:tc>
        <w:tc>
          <w:tcPr>
            <w:tcW w:w="821" w:type="pct"/>
            <w:hideMark/>
          </w:tcPr>
          <w:p w14:paraId="2F75E5E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2.78</w:t>
            </w:r>
          </w:p>
        </w:tc>
        <w:tc>
          <w:tcPr>
            <w:tcW w:w="759" w:type="pct"/>
            <w:hideMark/>
          </w:tcPr>
          <w:p w14:paraId="5902C74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1.248</w:t>
            </w:r>
          </w:p>
        </w:tc>
      </w:tr>
      <w:tr w:rsidR="00227727" w:rsidRPr="00227727" w14:paraId="693712D5" w14:textId="77777777" w:rsidTr="00E772F3">
        <w:tc>
          <w:tcPr>
            <w:tcW w:w="3261" w:type="pct"/>
            <w:hideMark/>
          </w:tcPr>
          <w:p w14:paraId="6045051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Educational qualification</w:t>
            </w:r>
          </w:p>
        </w:tc>
        <w:tc>
          <w:tcPr>
            <w:tcW w:w="821" w:type="pct"/>
            <w:hideMark/>
          </w:tcPr>
          <w:p w14:paraId="52E11EC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3.02</w:t>
            </w:r>
          </w:p>
        </w:tc>
        <w:tc>
          <w:tcPr>
            <w:tcW w:w="759" w:type="pct"/>
            <w:hideMark/>
          </w:tcPr>
          <w:p w14:paraId="216636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0.878</w:t>
            </w:r>
          </w:p>
        </w:tc>
      </w:tr>
      <w:tr w:rsidR="00227727" w:rsidRPr="00227727" w14:paraId="473550D6" w14:textId="77777777" w:rsidTr="00E772F3">
        <w:tc>
          <w:tcPr>
            <w:tcW w:w="3261" w:type="pct"/>
            <w:hideMark/>
          </w:tcPr>
          <w:p w14:paraId="00DA71D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Employment duration</w:t>
            </w:r>
          </w:p>
        </w:tc>
        <w:tc>
          <w:tcPr>
            <w:tcW w:w="821" w:type="pct"/>
            <w:hideMark/>
          </w:tcPr>
          <w:p w14:paraId="574DED4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2.17</w:t>
            </w:r>
          </w:p>
        </w:tc>
        <w:tc>
          <w:tcPr>
            <w:tcW w:w="759" w:type="pct"/>
            <w:hideMark/>
          </w:tcPr>
          <w:p w14:paraId="6394315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0.751</w:t>
            </w:r>
          </w:p>
        </w:tc>
      </w:tr>
      <w:tr w:rsidR="00227727" w:rsidRPr="00227727" w14:paraId="4AB5BEEE" w14:textId="77777777" w:rsidTr="00E772F3">
        <w:tc>
          <w:tcPr>
            <w:tcW w:w="3261" w:type="pct"/>
            <w:hideMark/>
          </w:tcPr>
          <w:p w14:paraId="636AFC1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Preferred mode of work</w:t>
            </w:r>
          </w:p>
        </w:tc>
        <w:tc>
          <w:tcPr>
            <w:tcW w:w="821" w:type="pct"/>
            <w:hideMark/>
          </w:tcPr>
          <w:p w14:paraId="1A5673E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1.65</w:t>
            </w:r>
          </w:p>
        </w:tc>
        <w:tc>
          <w:tcPr>
            <w:tcW w:w="759" w:type="pct"/>
            <w:hideMark/>
          </w:tcPr>
          <w:p w14:paraId="01A8FB1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0.477</w:t>
            </w:r>
          </w:p>
        </w:tc>
      </w:tr>
    </w:tbl>
    <w:p w14:paraId="396A89ED" w14:textId="77777777" w:rsidR="00227727" w:rsidRPr="00227727" w:rsidRDefault="00227727" w:rsidP="00227727">
      <w:pPr>
        <w:spacing w:line="360" w:lineRule="auto"/>
        <w:rPr>
          <w:rFonts w:ascii="Arial" w:hAnsi="Arial" w:cs="Arial"/>
          <w:sz w:val="24"/>
          <w:szCs w:val="24"/>
          <w:lang w:bidi="ta-IN"/>
        </w:rPr>
      </w:pPr>
    </w:p>
    <w:p w14:paraId="473A29C1"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 xml:space="preserve">The mean and standard deviation values revealed that the organization variable had a mean of 1.55 with a standard deviation of 0.498, indicating a relatively balanced distribution between the two companies. Reflecting a reasonable variation in the geographical distribution of employees, region/location displayed a mean of 6.11 and a standard deviation of 1.288. With a mean of 5.38 and a greater standard deviation of 2.659, the role/function variable suggested a broad spectrum of professional roles among staff members. Nature of employment showed some variation but generally </w:t>
      </w:r>
      <w:r w:rsidRPr="00227727">
        <w:rPr>
          <w:rFonts w:ascii="Arial" w:hAnsi="Arial" w:cs="Arial"/>
          <w:sz w:val="24"/>
          <w:szCs w:val="24"/>
          <w:lang w:bidi="ta-IN"/>
        </w:rPr>
        <w:lastRenderedPageBreak/>
        <w:t>consistency in employment type with a mean of 2.83 and a standard deviation of 0.731. With a standard deviation of 0.476 and a mean of 1.66, work autonomy revealed that a considerable fraction of workers possessed comparable degrees of autonomy at their jobs. Presenting a mean of 1.83 and a standard deviation 0.582, the work location suggested consistent working conditions. With a mean of 2.65 and a standard deviation of 1.212, the length of employment shows a rather even distribution among several employment tenures. Reflecting a modest balance between male and female workers, gender displayed a mean of 1.47 with a standard deviation of 0.525. With a mean of 2.78 and a standard deviation of 1.248, the age group pointed to a reasonable range among several age groups. With a mean of 3.02 and a standard deviation of 0.878, educational qualification highlighted a predominance of workers with higher education degrees but with some variation. Again, this implies a relatively moderate variation in the length of service among employees, with employment duration showing a mean of 2.17 and a standard deviation of 0.751. With a mean of 1.65 and a standard deviation of 0.477, the chosen mode of work had a clear tendency among employees towards a certain work mode with limited variation.</w:t>
      </w:r>
    </w:p>
    <w:p w14:paraId="1D60B718" w14:textId="77777777" w:rsidR="00227727" w:rsidRPr="00227727" w:rsidRDefault="00227727" w:rsidP="00227727">
      <w:pPr>
        <w:pStyle w:val="Heading4"/>
        <w:spacing w:line="360" w:lineRule="auto"/>
        <w:rPr>
          <w:rFonts w:ascii="Arial" w:hAnsi="Arial" w:cs="Arial"/>
        </w:rPr>
      </w:pPr>
      <w:r w:rsidRPr="00227727">
        <w:rPr>
          <w:rFonts w:ascii="Arial" w:hAnsi="Arial" w:cs="Arial"/>
        </w:rPr>
        <w:t>Common Method Bias (CMB) and Multi-collinearity</w:t>
      </w:r>
    </w:p>
    <w:p w14:paraId="225CCF5D"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Common Method Bias (CMB) is a critical issue in research involving self-reported data because it can artificially inflate relationships between variables based on shared variance rather than actual theoretical relationships. CMB was assessed using Principal Component Analysis (PCA), with the first factor accounting for 46.44% of the total variance (Table 4.3). Harman's single-factor test states that CMB is considered a significant issue if a single factor explains more than 50% of the variance (Podsakoff &amp; Organ, 1986). In this study, the variance explained by the first factor is less than 50%, indicating that CMB is not a major concern. Multiple factors with eigenvalues greater than one were extracted, supporting the claim that no single factor dominates the variance, which is consistent with the recommendations of Fuller et al. (2016).</w:t>
      </w:r>
    </w:p>
    <w:p w14:paraId="5D8BECBD"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Multicollinearity diagnostics were performed beyond the total variance explained to investigate potential predictor redundancy (Table 4.4). Multicollinearity occurs when the predictor variables in a regression model are highly correlated, resulting in unstable estimates and inflated standard errors. The variance inflation factor (VIF) values in this study range from 1.000 to 7.961, falling below the widely accepted threshold of 10.0 (Cohen et al., 2013). This suggests multicollinearity is not a major concern, as the independent variables retain their distinct explanatory power. According to Kock (2015), a VIF value greater than 3.3 may indicate problematic collinearity in variance-based structural equation modelling (SEM), but values less than 10 are generally considered acceptable in traditional regression analysis (Field, 2018).</w:t>
      </w:r>
    </w:p>
    <w:p w14:paraId="5C05F336"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4.3.</w:t>
      </w:r>
      <w:r w:rsidRPr="00227727">
        <w:rPr>
          <w:rFonts w:ascii="Arial" w:hAnsi="Arial" w:cs="Arial"/>
          <w:sz w:val="24"/>
          <w:szCs w:val="24"/>
          <w:lang w:bidi="ta-IN"/>
        </w:rPr>
        <w:t xml:space="preserve"> Common Method Bias (CMB)</w:t>
      </w:r>
    </w:p>
    <w:tbl>
      <w:tblPr>
        <w:tblStyle w:val="ListTable6Colourful"/>
        <w:tblW w:w="5000" w:type="pct"/>
        <w:tblLook w:val="0620" w:firstRow="1" w:lastRow="0" w:firstColumn="0" w:lastColumn="0" w:noHBand="1" w:noVBand="1"/>
      </w:tblPr>
      <w:tblGrid>
        <w:gridCol w:w="1559"/>
        <w:gridCol w:w="1175"/>
        <w:gridCol w:w="1664"/>
        <w:gridCol w:w="1681"/>
        <w:gridCol w:w="1342"/>
        <w:gridCol w:w="1665"/>
        <w:gridCol w:w="1680"/>
      </w:tblGrid>
      <w:tr w:rsidR="00227727" w:rsidRPr="00227727" w14:paraId="258AECF7" w14:textId="77777777" w:rsidTr="00E772F3">
        <w:trPr>
          <w:cnfStyle w:val="100000000000" w:firstRow="1" w:lastRow="0" w:firstColumn="0" w:lastColumn="0" w:oddVBand="0" w:evenVBand="0" w:oddHBand="0" w:evenHBand="0" w:firstRowFirstColumn="0" w:firstRowLastColumn="0" w:lastRowFirstColumn="0" w:lastRowLastColumn="0"/>
        </w:trPr>
        <w:tc>
          <w:tcPr>
            <w:tcW w:w="694" w:type="pct"/>
            <w:vMerge w:val="restart"/>
          </w:tcPr>
          <w:p w14:paraId="6B5055AD"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Component</w:t>
            </w:r>
          </w:p>
        </w:tc>
        <w:tc>
          <w:tcPr>
            <w:tcW w:w="2115" w:type="pct"/>
            <w:gridSpan w:val="3"/>
            <w:tcBorders>
              <w:bottom w:val="single" w:sz="4" w:space="0" w:color="auto"/>
            </w:tcBorders>
          </w:tcPr>
          <w:p w14:paraId="03F3BFBE" w14:textId="77777777" w:rsidR="00227727" w:rsidRPr="00227727" w:rsidRDefault="00227727" w:rsidP="00E772F3">
            <w:pPr>
              <w:autoSpaceDE w:val="0"/>
              <w:autoSpaceDN w:val="0"/>
              <w:adjustRightInd w:val="0"/>
              <w:spacing w:line="360" w:lineRule="auto"/>
              <w:ind w:left="60" w:right="60"/>
              <w:jc w:val="center"/>
              <w:rPr>
                <w:rFonts w:ascii="Arial" w:hAnsi="Arial" w:cs="Arial"/>
                <w:color w:val="000000"/>
                <w:sz w:val="22"/>
                <w14:ligatures w14:val="standardContextual"/>
              </w:rPr>
            </w:pPr>
            <w:r w:rsidRPr="00227727">
              <w:rPr>
                <w:rFonts w:ascii="Arial" w:hAnsi="Arial" w:cs="Arial"/>
                <w:color w:val="000000"/>
                <w:sz w:val="22"/>
                <w14:ligatures w14:val="standardContextual"/>
              </w:rPr>
              <w:t>Initial Eigenvalues</w:t>
            </w:r>
          </w:p>
        </w:tc>
        <w:tc>
          <w:tcPr>
            <w:tcW w:w="2191" w:type="pct"/>
            <w:gridSpan w:val="3"/>
            <w:tcBorders>
              <w:bottom w:val="single" w:sz="4" w:space="0" w:color="auto"/>
            </w:tcBorders>
          </w:tcPr>
          <w:p w14:paraId="390F9319" w14:textId="77777777" w:rsidR="00227727" w:rsidRPr="00227727" w:rsidRDefault="00227727" w:rsidP="00E772F3">
            <w:pPr>
              <w:autoSpaceDE w:val="0"/>
              <w:autoSpaceDN w:val="0"/>
              <w:adjustRightInd w:val="0"/>
              <w:spacing w:line="360" w:lineRule="auto"/>
              <w:ind w:left="60" w:right="60"/>
              <w:jc w:val="center"/>
              <w:rPr>
                <w:rFonts w:ascii="Arial" w:hAnsi="Arial" w:cs="Arial"/>
                <w:color w:val="000000"/>
                <w:sz w:val="22"/>
                <w14:ligatures w14:val="standardContextual"/>
              </w:rPr>
            </w:pPr>
            <w:r w:rsidRPr="00227727">
              <w:rPr>
                <w:rFonts w:ascii="Arial" w:hAnsi="Arial" w:cs="Arial"/>
                <w:color w:val="000000"/>
                <w:sz w:val="22"/>
                <w14:ligatures w14:val="standardContextual"/>
              </w:rPr>
              <w:t>Extraction Sums of Squared Loadings</w:t>
            </w:r>
          </w:p>
        </w:tc>
      </w:tr>
      <w:tr w:rsidR="00227727" w:rsidRPr="00227727" w14:paraId="44DDE3ED" w14:textId="77777777" w:rsidTr="00E772F3">
        <w:tc>
          <w:tcPr>
            <w:tcW w:w="694" w:type="pct"/>
            <w:vMerge/>
          </w:tcPr>
          <w:p w14:paraId="5DB19320" w14:textId="77777777" w:rsidR="00227727" w:rsidRPr="00227727" w:rsidRDefault="00227727" w:rsidP="00E772F3">
            <w:pPr>
              <w:autoSpaceDE w:val="0"/>
              <w:autoSpaceDN w:val="0"/>
              <w:adjustRightInd w:val="0"/>
              <w:spacing w:line="360" w:lineRule="auto"/>
              <w:rPr>
                <w:rFonts w:ascii="Arial" w:hAnsi="Arial" w:cs="Arial"/>
                <w:color w:val="000000"/>
                <w:sz w:val="22"/>
                <w14:ligatures w14:val="standardContextual"/>
              </w:rPr>
            </w:pPr>
          </w:p>
        </w:tc>
        <w:tc>
          <w:tcPr>
            <w:tcW w:w="551" w:type="pct"/>
            <w:tcBorders>
              <w:top w:val="single" w:sz="4" w:space="0" w:color="auto"/>
              <w:bottom w:val="single" w:sz="4" w:space="0" w:color="auto"/>
            </w:tcBorders>
          </w:tcPr>
          <w:p w14:paraId="006612D6" w14:textId="77777777" w:rsidR="00227727" w:rsidRPr="00227727" w:rsidRDefault="00227727" w:rsidP="00E772F3">
            <w:pPr>
              <w:autoSpaceDE w:val="0"/>
              <w:autoSpaceDN w:val="0"/>
              <w:adjustRightInd w:val="0"/>
              <w:spacing w:line="360" w:lineRule="auto"/>
              <w:ind w:left="60" w:right="60"/>
              <w:jc w:val="center"/>
              <w:rPr>
                <w:rFonts w:ascii="Arial" w:hAnsi="Arial" w:cs="Arial"/>
                <w:i/>
                <w:color w:val="000000"/>
                <w:sz w:val="22"/>
                <w14:ligatures w14:val="standardContextual"/>
              </w:rPr>
            </w:pPr>
            <w:r w:rsidRPr="00227727">
              <w:rPr>
                <w:rFonts w:ascii="Arial" w:hAnsi="Arial" w:cs="Arial"/>
                <w:i/>
                <w:color w:val="000000"/>
                <w:sz w:val="22"/>
                <w14:ligatures w14:val="standardContextual"/>
              </w:rPr>
              <w:t>Total</w:t>
            </w:r>
          </w:p>
        </w:tc>
        <w:tc>
          <w:tcPr>
            <w:tcW w:w="778" w:type="pct"/>
            <w:tcBorders>
              <w:top w:val="single" w:sz="4" w:space="0" w:color="auto"/>
              <w:bottom w:val="single" w:sz="4" w:space="0" w:color="auto"/>
            </w:tcBorders>
          </w:tcPr>
          <w:p w14:paraId="66ED57E8" w14:textId="77777777" w:rsidR="00227727" w:rsidRPr="00227727" w:rsidRDefault="00227727" w:rsidP="00E772F3">
            <w:pPr>
              <w:autoSpaceDE w:val="0"/>
              <w:autoSpaceDN w:val="0"/>
              <w:adjustRightInd w:val="0"/>
              <w:spacing w:line="360" w:lineRule="auto"/>
              <w:ind w:left="60" w:right="60"/>
              <w:jc w:val="center"/>
              <w:rPr>
                <w:rFonts w:ascii="Arial" w:hAnsi="Arial" w:cs="Arial"/>
                <w:i/>
                <w:color w:val="000000"/>
                <w:sz w:val="22"/>
                <w14:ligatures w14:val="standardContextual"/>
              </w:rPr>
            </w:pPr>
            <w:r w:rsidRPr="00227727">
              <w:rPr>
                <w:rFonts w:ascii="Arial" w:hAnsi="Arial" w:cs="Arial"/>
                <w:i/>
                <w:color w:val="000000"/>
                <w:sz w:val="22"/>
                <w14:ligatures w14:val="standardContextual"/>
              </w:rPr>
              <w:t>% of Variance</w:t>
            </w:r>
          </w:p>
        </w:tc>
        <w:tc>
          <w:tcPr>
            <w:tcW w:w="786" w:type="pct"/>
            <w:tcBorders>
              <w:top w:val="single" w:sz="4" w:space="0" w:color="auto"/>
              <w:bottom w:val="single" w:sz="4" w:space="0" w:color="auto"/>
            </w:tcBorders>
          </w:tcPr>
          <w:p w14:paraId="3A525A04" w14:textId="77777777" w:rsidR="00227727" w:rsidRPr="00227727" w:rsidRDefault="00227727" w:rsidP="00E772F3">
            <w:pPr>
              <w:autoSpaceDE w:val="0"/>
              <w:autoSpaceDN w:val="0"/>
              <w:adjustRightInd w:val="0"/>
              <w:spacing w:line="360" w:lineRule="auto"/>
              <w:ind w:left="60" w:right="60"/>
              <w:jc w:val="center"/>
              <w:rPr>
                <w:rFonts w:ascii="Arial" w:hAnsi="Arial" w:cs="Arial"/>
                <w:i/>
                <w:color w:val="000000"/>
                <w:sz w:val="22"/>
                <w14:ligatures w14:val="standardContextual"/>
              </w:rPr>
            </w:pPr>
            <w:r w:rsidRPr="00227727">
              <w:rPr>
                <w:rFonts w:ascii="Arial" w:hAnsi="Arial" w:cs="Arial"/>
                <w:i/>
                <w:color w:val="000000"/>
                <w:sz w:val="22"/>
                <w14:ligatures w14:val="standardContextual"/>
              </w:rPr>
              <w:t>Cumulative %</w:t>
            </w:r>
          </w:p>
        </w:tc>
        <w:tc>
          <w:tcPr>
            <w:tcW w:w="628" w:type="pct"/>
            <w:tcBorders>
              <w:top w:val="single" w:sz="4" w:space="0" w:color="auto"/>
              <w:bottom w:val="single" w:sz="4" w:space="0" w:color="auto"/>
            </w:tcBorders>
          </w:tcPr>
          <w:p w14:paraId="0454218D" w14:textId="77777777" w:rsidR="00227727" w:rsidRPr="00227727" w:rsidRDefault="00227727" w:rsidP="00E772F3">
            <w:pPr>
              <w:autoSpaceDE w:val="0"/>
              <w:autoSpaceDN w:val="0"/>
              <w:adjustRightInd w:val="0"/>
              <w:spacing w:line="360" w:lineRule="auto"/>
              <w:ind w:left="60" w:right="60"/>
              <w:jc w:val="center"/>
              <w:rPr>
                <w:rFonts w:ascii="Arial" w:hAnsi="Arial" w:cs="Arial"/>
                <w:i/>
                <w:color w:val="000000"/>
                <w:sz w:val="22"/>
                <w14:ligatures w14:val="standardContextual"/>
              </w:rPr>
            </w:pPr>
            <w:r w:rsidRPr="00227727">
              <w:rPr>
                <w:rFonts w:ascii="Arial" w:hAnsi="Arial" w:cs="Arial"/>
                <w:i/>
                <w:color w:val="000000"/>
                <w:sz w:val="22"/>
                <w14:ligatures w14:val="standardContextual"/>
              </w:rPr>
              <w:t>Total</w:t>
            </w:r>
          </w:p>
        </w:tc>
        <w:tc>
          <w:tcPr>
            <w:tcW w:w="778" w:type="pct"/>
            <w:tcBorders>
              <w:top w:val="single" w:sz="4" w:space="0" w:color="auto"/>
              <w:bottom w:val="single" w:sz="4" w:space="0" w:color="auto"/>
            </w:tcBorders>
          </w:tcPr>
          <w:p w14:paraId="2A97C663" w14:textId="77777777" w:rsidR="00227727" w:rsidRPr="00227727" w:rsidRDefault="00227727" w:rsidP="00E772F3">
            <w:pPr>
              <w:autoSpaceDE w:val="0"/>
              <w:autoSpaceDN w:val="0"/>
              <w:adjustRightInd w:val="0"/>
              <w:spacing w:line="360" w:lineRule="auto"/>
              <w:ind w:left="60" w:right="60"/>
              <w:jc w:val="center"/>
              <w:rPr>
                <w:rFonts w:ascii="Arial" w:hAnsi="Arial" w:cs="Arial"/>
                <w:i/>
                <w:color w:val="000000"/>
                <w:sz w:val="22"/>
                <w14:ligatures w14:val="standardContextual"/>
              </w:rPr>
            </w:pPr>
            <w:r w:rsidRPr="00227727">
              <w:rPr>
                <w:rFonts w:ascii="Arial" w:hAnsi="Arial" w:cs="Arial"/>
                <w:i/>
                <w:color w:val="000000"/>
                <w:sz w:val="22"/>
                <w14:ligatures w14:val="standardContextual"/>
              </w:rPr>
              <w:t>% of Variance</w:t>
            </w:r>
          </w:p>
        </w:tc>
        <w:tc>
          <w:tcPr>
            <w:tcW w:w="786" w:type="pct"/>
            <w:tcBorders>
              <w:top w:val="single" w:sz="4" w:space="0" w:color="auto"/>
              <w:bottom w:val="single" w:sz="4" w:space="0" w:color="auto"/>
            </w:tcBorders>
          </w:tcPr>
          <w:p w14:paraId="1BA2853B" w14:textId="77777777" w:rsidR="00227727" w:rsidRPr="00227727" w:rsidRDefault="00227727" w:rsidP="00E772F3">
            <w:pPr>
              <w:autoSpaceDE w:val="0"/>
              <w:autoSpaceDN w:val="0"/>
              <w:adjustRightInd w:val="0"/>
              <w:spacing w:line="360" w:lineRule="auto"/>
              <w:ind w:left="60" w:right="60"/>
              <w:jc w:val="center"/>
              <w:rPr>
                <w:rFonts w:ascii="Arial" w:hAnsi="Arial" w:cs="Arial"/>
                <w:i/>
                <w:color w:val="000000"/>
                <w:sz w:val="22"/>
                <w14:ligatures w14:val="standardContextual"/>
              </w:rPr>
            </w:pPr>
            <w:r w:rsidRPr="00227727">
              <w:rPr>
                <w:rFonts w:ascii="Arial" w:hAnsi="Arial" w:cs="Arial"/>
                <w:i/>
                <w:color w:val="000000"/>
                <w:sz w:val="22"/>
                <w14:ligatures w14:val="standardContextual"/>
              </w:rPr>
              <w:t>Cumulative %</w:t>
            </w:r>
          </w:p>
        </w:tc>
      </w:tr>
      <w:tr w:rsidR="00227727" w:rsidRPr="00227727" w14:paraId="48F3B654" w14:textId="77777777" w:rsidTr="00E772F3">
        <w:tc>
          <w:tcPr>
            <w:tcW w:w="694" w:type="pct"/>
          </w:tcPr>
          <w:p w14:paraId="0F7DDD7B"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lastRenderedPageBreak/>
              <w:t>1</w:t>
            </w:r>
          </w:p>
        </w:tc>
        <w:tc>
          <w:tcPr>
            <w:tcW w:w="551" w:type="pct"/>
            <w:tcBorders>
              <w:top w:val="single" w:sz="4" w:space="0" w:color="auto"/>
            </w:tcBorders>
          </w:tcPr>
          <w:p w14:paraId="6AA67E1D"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20.900</w:t>
            </w:r>
          </w:p>
        </w:tc>
        <w:tc>
          <w:tcPr>
            <w:tcW w:w="778" w:type="pct"/>
            <w:tcBorders>
              <w:top w:val="single" w:sz="4" w:space="0" w:color="auto"/>
            </w:tcBorders>
          </w:tcPr>
          <w:p w14:paraId="104114DA"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46.444</w:t>
            </w:r>
          </w:p>
        </w:tc>
        <w:tc>
          <w:tcPr>
            <w:tcW w:w="786" w:type="pct"/>
            <w:tcBorders>
              <w:top w:val="single" w:sz="4" w:space="0" w:color="auto"/>
            </w:tcBorders>
          </w:tcPr>
          <w:p w14:paraId="2BC99B68"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46.444</w:t>
            </w:r>
          </w:p>
        </w:tc>
        <w:tc>
          <w:tcPr>
            <w:tcW w:w="628" w:type="pct"/>
            <w:tcBorders>
              <w:top w:val="single" w:sz="4" w:space="0" w:color="auto"/>
            </w:tcBorders>
          </w:tcPr>
          <w:p w14:paraId="705B9EB3"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20.900</w:t>
            </w:r>
          </w:p>
        </w:tc>
        <w:tc>
          <w:tcPr>
            <w:tcW w:w="778" w:type="pct"/>
            <w:tcBorders>
              <w:top w:val="single" w:sz="4" w:space="0" w:color="auto"/>
            </w:tcBorders>
          </w:tcPr>
          <w:p w14:paraId="05E42288"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46.444</w:t>
            </w:r>
          </w:p>
        </w:tc>
        <w:tc>
          <w:tcPr>
            <w:tcW w:w="786" w:type="pct"/>
            <w:tcBorders>
              <w:top w:val="single" w:sz="4" w:space="0" w:color="auto"/>
            </w:tcBorders>
          </w:tcPr>
          <w:p w14:paraId="1C0D654B"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46.444</w:t>
            </w:r>
          </w:p>
        </w:tc>
      </w:tr>
      <w:tr w:rsidR="00227727" w:rsidRPr="00227727" w14:paraId="2BD36C2D" w14:textId="77777777" w:rsidTr="00E772F3">
        <w:tc>
          <w:tcPr>
            <w:tcW w:w="694" w:type="pct"/>
          </w:tcPr>
          <w:p w14:paraId="48A68450"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2</w:t>
            </w:r>
          </w:p>
        </w:tc>
        <w:tc>
          <w:tcPr>
            <w:tcW w:w="551" w:type="pct"/>
          </w:tcPr>
          <w:p w14:paraId="372EDC10"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2.282</w:t>
            </w:r>
          </w:p>
        </w:tc>
        <w:tc>
          <w:tcPr>
            <w:tcW w:w="778" w:type="pct"/>
          </w:tcPr>
          <w:p w14:paraId="1BBD13FA"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5.070</w:t>
            </w:r>
          </w:p>
        </w:tc>
        <w:tc>
          <w:tcPr>
            <w:tcW w:w="786" w:type="pct"/>
          </w:tcPr>
          <w:p w14:paraId="3FB42035"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51.514</w:t>
            </w:r>
          </w:p>
        </w:tc>
        <w:tc>
          <w:tcPr>
            <w:tcW w:w="628" w:type="pct"/>
          </w:tcPr>
          <w:p w14:paraId="7C44688B"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2.282</w:t>
            </w:r>
          </w:p>
        </w:tc>
        <w:tc>
          <w:tcPr>
            <w:tcW w:w="778" w:type="pct"/>
          </w:tcPr>
          <w:p w14:paraId="676B8DC9"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5.070</w:t>
            </w:r>
          </w:p>
        </w:tc>
        <w:tc>
          <w:tcPr>
            <w:tcW w:w="786" w:type="pct"/>
          </w:tcPr>
          <w:p w14:paraId="242B4A70"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51.514</w:t>
            </w:r>
          </w:p>
        </w:tc>
      </w:tr>
      <w:tr w:rsidR="00227727" w:rsidRPr="00227727" w14:paraId="7A832066" w14:textId="77777777" w:rsidTr="00E772F3">
        <w:tc>
          <w:tcPr>
            <w:tcW w:w="694" w:type="pct"/>
          </w:tcPr>
          <w:p w14:paraId="68E9CABE"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3</w:t>
            </w:r>
          </w:p>
        </w:tc>
        <w:tc>
          <w:tcPr>
            <w:tcW w:w="551" w:type="pct"/>
          </w:tcPr>
          <w:p w14:paraId="6C13D767"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1.585</w:t>
            </w:r>
          </w:p>
        </w:tc>
        <w:tc>
          <w:tcPr>
            <w:tcW w:w="778" w:type="pct"/>
          </w:tcPr>
          <w:p w14:paraId="503B7856"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3.523</w:t>
            </w:r>
          </w:p>
        </w:tc>
        <w:tc>
          <w:tcPr>
            <w:tcW w:w="786" w:type="pct"/>
          </w:tcPr>
          <w:p w14:paraId="14846711"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55.037</w:t>
            </w:r>
          </w:p>
        </w:tc>
        <w:tc>
          <w:tcPr>
            <w:tcW w:w="628" w:type="pct"/>
          </w:tcPr>
          <w:p w14:paraId="3672B943"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1.585</w:t>
            </w:r>
          </w:p>
        </w:tc>
        <w:tc>
          <w:tcPr>
            <w:tcW w:w="778" w:type="pct"/>
          </w:tcPr>
          <w:p w14:paraId="6A3A211E"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3.523</w:t>
            </w:r>
          </w:p>
        </w:tc>
        <w:tc>
          <w:tcPr>
            <w:tcW w:w="786" w:type="pct"/>
          </w:tcPr>
          <w:p w14:paraId="53157DAC"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55.037</w:t>
            </w:r>
          </w:p>
        </w:tc>
      </w:tr>
      <w:tr w:rsidR="00227727" w:rsidRPr="00227727" w14:paraId="24F1235B" w14:textId="77777777" w:rsidTr="00E772F3">
        <w:tc>
          <w:tcPr>
            <w:tcW w:w="694" w:type="pct"/>
          </w:tcPr>
          <w:p w14:paraId="137EDEFF"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4</w:t>
            </w:r>
          </w:p>
        </w:tc>
        <w:tc>
          <w:tcPr>
            <w:tcW w:w="551" w:type="pct"/>
          </w:tcPr>
          <w:p w14:paraId="053D8C5F"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1.199</w:t>
            </w:r>
          </w:p>
        </w:tc>
        <w:tc>
          <w:tcPr>
            <w:tcW w:w="778" w:type="pct"/>
          </w:tcPr>
          <w:p w14:paraId="253EC0AD"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2.664</w:t>
            </w:r>
          </w:p>
        </w:tc>
        <w:tc>
          <w:tcPr>
            <w:tcW w:w="786" w:type="pct"/>
          </w:tcPr>
          <w:p w14:paraId="73726E1B"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57.701</w:t>
            </w:r>
          </w:p>
        </w:tc>
        <w:tc>
          <w:tcPr>
            <w:tcW w:w="628" w:type="pct"/>
          </w:tcPr>
          <w:p w14:paraId="07F70A08"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1.199</w:t>
            </w:r>
          </w:p>
        </w:tc>
        <w:tc>
          <w:tcPr>
            <w:tcW w:w="778" w:type="pct"/>
          </w:tcPr>
          <w:p w14:paraId="2B4890ED"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2.664</w:t>
            </w:r>
          </w:p>
        </w:tc>
        <w:tc>
          <w:tcPr>
            <w:tcW w:w="786" w:type="pct"/>
          </w:tcPr>
          <w:p w14:paraId="19EC9A88"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57.701</w:t>
            </w:r>
          </w:p>
        </w:tc>
      </w:tr>
      <w:tr w:rsidR="00227727" w:rsidRPr="00227727" w14:paraId="73E5E3BB" w14:textId="77777777" w:rsidTr="00E772F3">
        <w:tc>
          <w:tcPr>
            <w:tcW w:w="694" w:type="pct"/>
          </w:tcPr>
          <w:p w14:paraId="51E62CA1"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5</w:t>
            </w:r>
          </w:p>
        </w:tc>
        <w:tc>
          <w:tcPr>
            <w:tcW w:w="551" w:type="pct"/>
          </w:tcPr>
          <w:p w14:paraId="064AFCC6"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1.082</w:t>
            </w:r>
          </w:p>
        </w:tc>
        <w:tc>
          <w:tcPr>
            <w:tcW w:w="778" w:type="pct"/>
          </w:tcPr>
          <w:p w14:paraId="05CFFB12"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2.404</w:t>
            </w:r>
          </w:p>
        </w:tc>
        <w:tc>
          <w:tcPr>
            <w:tcW w:w="786" w:type="pct"/>
          </w:tcPr>
          <w:p w14:paraId="16DF8B6D"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60.105</w:t>
            </w:r>
          </w:p>
        </w:tc>
        <w:tc>
          <w:tcPr>
            <w:tcW w:w="628" w:type="pct"/>
          </w:tcPr>
          <w:p w14:paraId="18F49CAE"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1.082</w:t>
            </w:r>
          </w:p>
        </w:tc>
        <w:tc>
          <w:tcPr>
            <w:tcW w:w="778" w:type="pct"/>
          </w:tcPr>
          <w:p w14:paraId="7B2B8F02"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2.404</w:t>
            </w:r>
          </w:p>
        </w:tc>
        <w:tc>
          <w:tcPr>
            <w:tcW w:w="786" w:type="pct"/>
          </w:tcPr>
          <w:p w14:paraId="511A2AB9"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60.105</w:t>
            </w:r>
          </w:p>
        </w:tc>
      </w:tr>
      <w:tr w:rsidR="00227727" w:rsidRPr="00227727" w14:paraId="69A3D158" w14:textId="77777777" w:rsidTr="00E772F3">
        <w:tc>
          <w:tcPr>
            <w:tcW w:w="694" w:type="pct"/>
          </w:tcPr>
          <w:p w14:paraId="555E65AF"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6</w:t>
            </w:r>
          </w:p>
        </w:tc>
        <w:tc>
          <w:tcPr>
            <w:tcW w:w="551" w:type="pct"/>
          </w:tcPr>
          <w:p w14:paraId="216FC1DE"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1.060</w:t>
            </w:r>
          </w:p>
        </w:tc>
        <w:tc>
          <w:tcPr>
            <w:tcW w:w="778" w:type="pct"/>
          </w:tcPr>
          <w:p w14:paraId="576D2C93"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2.356</w:t>
            </w:r>
          </w:p>
        </w:tc>
        <w:tc>
          <w:tcPr>
            <w:tcW w:w="786" w:type="pct"/>
          </w:tcPr>
          <w:p w14:paraId="1253F5D2"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62.461</w:t>
            </w:r>
          </w:p>
        </w:tc>
        <w:tc>
          <w:tcPr>
            <w:tcW w:w="628" w:type="pct"/>
          </w:tcPr>
          <w:p w14:paraId="3A0A3AC7"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1.060</w:t>
            </w:r>
          </w:p>
        </w:tc>
        <w:tc>
          <w:tcPr>
            <w:tcW w:w="778" w:type="pct"/>
          </w:tcPr>
          <w:p w14:paraId="357DB4B1"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2.356</w:t>
            </w:r>
          </w:p>
        </w:tc>
        <w:tc>
          <w:tcPr>
            <w:tcW w:w="786" w:type="pct"/>
          </w:tcPr>
          <w:p w14:paraId="3289C052"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62.461</w:t>
            </w:r>
          </w:p>
        </w:tc>
      </w:tr>
      <w:tr w:rsidR="00227727" w:rsidRPr="00227727" w14:paraId="12E70E37" w14:textId="77777777" w:rsidTr="00E772F3">
        <w:tc>
          <w:tcPr>
            <w:tcW w:w="694" w:type="pct"/>
          </w:tcPr>
          <w:p w14:paraId="4CA308B7"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7</w:t>
            </w:r>
          </w:p>
        </w:tc>
        <w:tc>
          <w:tcPr>
            <w:tcW w:w="551" w:type="pct"/>
          </w:tcPr>
          <w:p w14:paraId="259235F7"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.969</w:t>
            </w:r>
          </w:p>
        </w:tc>
        <w:tc>
          <w:tcPr>
            <w:tcW w:w="778" w:type="pct"/>
          </w:tcPr>
          <w:p w14:paraId="752D0444"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2.154</w:t>
            </w:r>
          </w:p>
        </w:tc>
        <w:tc>
          <w:tcPr>
            <w:tcW w:w="786" w:type="pct"/>
          </w:tcPr>
          <w:p w14:paraId="5B09A61A"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64.615</w:t>
            </w:r>
          </w:p>
        </w:tc>
        <w:tc>
          <w:tcPr>
            <w:tcW w:w="628" w:type="pct"/>
          </w:tcPr>
          <w:p w14:paraId="1C3627F6"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c>
          <w:tcPr>
            <w:tcW w:w="778" w:type="pct"/>
          </w:tcPr>
          <w:p w14:paraId="64A7CD26"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c>
          <w:tcPr>
            <w:tcW w:w="786" w:type="pct"/>
          </w:tcPr>
          <w:p w14:paraId="14762145"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r>
      <w:tr w:rsidR="00227727" w:rsidRPr="00227727" w14:paraId="32F38638" w14:textId="77777777" w:rsidTr="00E772F3">
        <w:tc>
          <w:tcPr>
            <w:tcW w:w="694" w:type="pct"/>
          </w:tcPr>
          <w:p w14:paraId="451905A8"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8</w:t>
            </w:r>
          </w:p>
        </w:tc>
        <w:tc>
          <w:tcPr>
            <w:tcW w:w="551" w:type="pct"/>
          </w:tcPr>
          <w:p w14:paraId="6BFAE847"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.893</w:t>
            </w:r>
          </w:p>
        </w:tc>
        <w:tc>
          <w:tcPr>
            <w:tcW w:w="778" w:type="pct"/>
          </w:tcPr>
          <w:p w14:paraId="13ADDB5D"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1.985</w:t>
            </w:r>
          </w:p>
        </w:tc>
        <w:tc>
          <w:tcPr>
            <w:tcW w:w="786" w:type="pct"/>
          </w:tcPr>
          <w:p w14:paraId="0FC54419"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66.601</w:t>
            </w:r>
          </w:p>
        </w:tc>
        <w:tc>
          <w:tcPr>
            <w:tcW w:w="628" w:type="pct"/>
          </w:tcPr>
          <w:p w14:paraId="1DD2273C"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c>
          <w:tcPr>
            <w:tcW w:w="778" w:type="pct"/>
          </w:tcPr>
          <w:p w14:paraId="2237EC76"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c>
          <w:tcPr>
            <w:tcW w:w="786" w:type="pct"/>
          </w:tcPr>
          <w:p w14:paraId="56771F2B"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r>
      <w:tr w:rsidR="00227727" w:rsidRPr="00227727" w14:paraId="52862EE0" w14:textId="77777777" w:rsidTr="00E772F3">
        <w:tc>
          <w:tcPr>
            <w:tcW w:w="694" w:type="pct"/>
          </w:tcPr>
          <w:p w14:paraId="4370E4C4"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9</w:t>
            </w:r>
          </w:p>
        </w:tc>
        <w:tc>
          <w:tcPr>
            <w:tcW w:w="551" w:type="pct"/>
          </w:tcPr>
          <w:p w14:paraId="5D05058C"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.820</w:t>
            </w:r>
          </w:p>
        </w:tc>
        <w:tc>
          <w:tcPr>
            <w:tcW w:w="778" w:type="pct"/>
          </w:tcPr>
          <w:p w14:paraId="24B2BD9A"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1.823</w:t>
            </w:r>
          </w:p>
        </w:tc>
        <w:tc>
          <w:tcPr>
            <w:tcW w:w="786" w:type="pct"/>
          </w:tcPr>
          <w:p w14:paraId="78208C71"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68.423</w:t>
            </w:r>
          </w:p>
        </w:tc>
        <w:tc>
          <w:tcPr>
            <w:tcW w:w="628" w:type="pct"/>
          </w:tcPr>
          <w:p w14:paraId="13B8C08B"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c>
          <w:tcPr>
            <w:tcW w:w="778" w:type="pct"/>
          </w:tcPr>
          <w:p w14:paraId="31BF40C8"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c>
          <w:tcPr>
            <w:tcW w:w="786" w:type="pct"/>
          </w:tcPr>
          <w:p w14:paraId="1124F98C"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r>
      <w:tr w:rsidR="00227727" w:rsidRPr="00227727" w14:paraId="1817159F" w14:textId="77777777" w:rsidTr="00E772F3">
        <w:tc>
          <w:tcPr>
            <w:tcW w:w="694" w:type="pct"/>
          </w:tcPr>
          <w:p w14:paraId="00C11801"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22"/>
                <w14:ligatures w14:val="standardContextual"/>
              </w:rPr>
              <w:t>10</w:t>
            </w:r>
          </w:p>
        </w:tc>
        <w:tc>
          <w:tcPr>
            <w:tcW w:w="551" w:type="pct"/>
          </w:tcPr>
          <w:p w14:paraId="0AC27C90"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.770</w:t>
            </w:r>
          </w:p>
        </w:tc>
        <w:tc>
          <w:tcPr>
            <w:tcW w:w="778" w:type="pct"/>
          </w:tcPr>
          <w:p w14:paraId="62315B81"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1.710</w:t>
            </w:r>
          </w:p>
        </w:tc>
        <w:tc>
          <w:tcPr>
            <w:tcW w:w="786" w:type="pct"/>
          </w:tcPr>
          <w:p w14:paraId="1A905C3D" w14:textId="77777777" w:rsidR="00227727" w:rsidRPr="00227727" w:rsidRDefault="00227727" w:rsidP="00E772F3">
            <w:pPr>
              <w:autoSpaceDE w:val="0"/>
              <w:autoSpaceDN w:val="0"/>
              <w:adjustRightInd w:val="0"/>
              <w:spacing w:line="360" w:lineRule="auto"/>
              <w:ind w:left="60" w:right="60"/>
              <w:jc w:val="right"/>
              <w:rPr>
                <w:rFonts w:ascii="Arial" w:hAnsi="Arial" w:cs="Arial"/>
                <w:color w:val="000000"/>
                <w:sz w:val="22"/>
                <w14:ligatures w14:val="standardContextual"/>
              </w:rPr>
            </w:pPr>
            <w:r w:rsidRPr="00227727">
              <w:rPr>
                <w:rFonts w:ascii="Arial" w:hAnsi="Arial" w:cs="Arial"/>
                <w:color w:val="000000"/>
                <w:sz w:val="22"/>
                <w14:ligatures w14:val="standardContextual"/>
              </w:rPr>
              <w:t>70.133</w:t>
            </w:r>
          </w:p>
        </w:tc>
        <w:tc>
          <w:tcPr>
            <w:tcW w:w="628" w:type="pct"/>
          </w:tcPr>
          <w:p w14:paraId="2F2F4F67"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c>
          <w:tcPr>
            <w:tcW w:w="778" w:type="pct"/>
          </w:tcPr>
          <w:p w14:paraId="4505E195"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c>
          <w:tcPr>
            <w:tcW w:w="786" w:type="pct"/>
          </w:tcPr>
          <w:p w14:paraId="0DABEFB1" w14:textId="77777777" w:rsidR="00227727" w:rsidRPr="00227727" w:rsidRDefault="00227727" w:rsidP="00E772F3">
            <w:pPr>
              <w:autoSpaceDE w:val="0"/>
              <w:autoSpaceDN w:val="0"/>
              <w:adjustRightInd w:val="0"/>
              <w:spacing w:line="360" w:lineRule="auto"/>
              <w:rPr>
                <w:rFonts w:ascii="Arial" w:hAnsi="Arial" w:cs="Arial"/>
                <w:sz w:val="22"/>
                <w14:ligatures w14:val="standardContextual"/>
              </w:rPr>
            </w:pPr>
          </w:p>
        </w:tc>
      </w:tr>
      <w:tr w:rsidR="00227727" w:rsidRPr="00227727" w14:paraId="044A4F39" w14:textId="77777777" w:rsidTr="00E772F3">
        <w:tc>
          <w:tcPr>
            <w:tcW w:w="5000" w:type="pct"/>
            <w:gridSpan w:val="7"/>
          </w:tcPr>
          <w:p w14:paraId="48A530B4" w14:textId="77777777" w:rsidR="00227727" w:rsidRPr="00227727" w:rsidRDefault="00227727" w:rsidP="00E772F3">
            <w:pPr>
              <w:autoSpaceDE w:val="0"/>
              <w:autoSpaceDN w:val="0"/>
              <w:adjustRightInd w:val="0"/>
              <w:spacing w:line="360" w:lineRule="auto"/>
              <w:ind w:left="60" w:right="60"/>
              <w:rPr>
                <w:rFonts w:ascii="Arial" w:hAnsi="Arial" w:cs="Arial"/>
                <w:color w:val="000000"/>
                <w:sz w:val="22"/>
                <w14:ligatures w14:val="standardContextual"/>
              </w:rPr>
            </w:pPr>
            <w:r w:rsidRPr="00227727">
              <w:rPr>
                <w:rFonts w:ascii="Arial" w:hAnsi="Arial" w:cs="Arial"/>
                <w:color w:val="000000"/>
                <w:sz w:val="16"/>
                <w14:ligatures w14:val="standardContextual"/>
              </w:rPr>
              <w:t>Extraction Method: Principal Component Analysis.</w:t>
            </w:r>
          </w:p>
        </w:tc>
      </w:tr>
    </w:tbl>
    <w:p w14:paraId="31CDEB6A" w14:textId="77777777" w:rsidR="00227727" w:rsidRPr="00227727" w:rsidRDefault="00227727" w:rsidP="00227727">
      <w:pPr>
        <w:spacing w:line="360" w:lineRule="auto"/>
        <w:rPr>
          <w:rFonts w:ascii="Arial" w:hAnsi="Arial" w:cs="Arial"/>
          <w:sz w:val="24"/>
          <w:szCs w:val="24"/>
          <w14:ligatures w14:val="standardContextual"/>
        </w:rPr>
      </w:pPr>
    </w:p>
    <w:p w14:paraId="43CD13B4"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Employees' Wellbeing (VIF = 7.961) and Job Satisfaction (VIF = 7.013) are relatively higher but still within acceptable limits. HRM Practices (VIF = 2.933), Smarter Working (VIF = 3.632), and Job Stress (VIF = 5.583) exhibit moderate but not critical levels of multicollinearity. The interaction term HRM Practices × Smarter Working (VIF = 2.859) meets the recommended limits, indicating the model's robustness (Hair et al., 2014). These findings are consistent with previous research indicating that moderate multicollinearity does not necessarily invalidate a model but should be closely monitored to avoid biased estimations (O'Brien, 2007).</w:t>
      </w:r>
    </w:p>
    <w:p w14:paraId="2D79C432"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The findings indicate that CMB is not a major concern, and multicollinearity is within acceptable limits, which supports the structural relationships. Future studies should continue to use procedural safeguards such as anonymity assurances, improved scale development, and marker variables to reduce CMB risks (Podsakoff et al., 2012). Additionally, as Marcoulides et al. (2009) suggested, keeping VIF values below 5.0 can improve the model's predictive accuracy. These statistical checks confirm that the hypotheses and theoretical constructs are statistically sound and free of common methodological biases, allowing for accurate interpretations of the findings.</w:t>
      </w:r>
    </w:p>
    <w:p w14:paraId="336889E8"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4.4.</w:t>
      </w:r>
      <w:r w:rsidRPr="00227727">
        <w:rPr>
          <w:rFonts w:ascii="Arial" w:hAnsi="Arial" w:cs="Arial"/>
          <w:sz w:val="24"/>
          <w:szCs w:val="24"/>
          <w:lang w:bidi="ta-IN"/>
        </w:rPr>
        <w:t xml:space="preserve"> Multi-collinearity</w:t>
      </w:r>
    </w:p>
    <w:tbl>
      <w:tblPr>
        <w:tblStyle w:val="ListTable6Colourful"/>
        <w:tblW w:w="5000" w:type="pct"/>
        <w:tblLook w:val="0620" w:firstRow="1" w:lastRow="0" w:firstColumn="0" w:lastColumn="0" w:noHBand="1" w:noVBand="1"/>
      </w:tblPr>
      <w:tblGrid>
        <w:gridCol w:w="2910"/>
        <w:gridCol w:w="2035"/>
        <w:gridCol w:w="1455"/>
        <w:gridCol w:w="1662"/>
        <w:gridCol w:w="1583"/>
        <w:gridCol w:w="1121"/>
      </w:tblGrid>
      <w:tr w:rsidR="00227727" w:rsidRPr="00227727" w14:paraId="48810EA4"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1960" w:type="pct"/>
            <w:noWrap/>
            <w:hideMark/>
          </w:tcPr>
          <w:p w14:paraId="4C7F57A8" w14:textId="77777777" w:rsidR="00227727" w:rsidRPr="00227727" w:rsidRDefault="00227727" w:rsidP="00E772F3">
            <w:pPr>
              <w:rPr>
                <w:rFonts w:ascii="Arial" w:eastAsia="Times New Roman" w:hAnsi="Arial" w:cs="Arial"/>
                <w:sz w:val="22"/>
              </w:rPr>
            </w:pPr>
            <w:r w:rsidRPr="00227727">
              <w:rPr>
                <w:rFonts w:ascii="Arial" w:eastAsia="Times New Roman" w:hAnsi="Arial" w:cs="Arial"/>
                <w:sz w:val="22"/>
              </w:rPr>
              <w:t>Constructs</w:t>
            </w:r>
          </w:p>
        </w:tc>
        <w:tc>
          <w:tcPr>
            <w:tcW w:w="750" w:type="pct"/>
            <w:noWrap/>
            <w:hideMark/>
          </w:tcPr>
          <w:p w14:paraId="4C52A1B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Employees Wellbeing</w:t>
            </w:r>
          </w:p>
        </w:tc>
        <w:tc>
          <w:tcPr>
            <w:tcW w:w="560" w:type="pct"/>
            <w:noWrap/>
            <w:hideMark/>
          </w:tcPr>
          <w:p w14:paraId="1912F9F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HRM Practices</w:t>
            </w:r>
          </w:p>
        </w:tc>
        <w:tc>
          <w:tcPr>
            <w:tcW w:w="575" w:type="pct"/>
            <w:noWrap/>
            <w:hideMark/>
          </w:tcPr>
          <w:p w14:paraId="080B743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Performance</w:t>
            </w:r>
          </w:p>
        </w:tc>
        <w:tc>
          <w:tcPr>
            <w:tcW w:w="529" w:type="pct"/>
            <w:noWrap/>
            <w:hideMark/>
          </w:tcPr>
          <w:p w14:paraId="3A74FC8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Satisfaction</w:t>
            </w:r>
          </w:p>
        </w:tc>
        <w:tc>
          <w:tcPr>
            <w:tcW w:w="626" w:type="pct"/>
            <w:noWrap/>
            <w:hideMark/>
          </w:tcPr>
          <w:p w14:paraId="3509800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Stress</w:t>
            </w:r>
          </w:p>
        </w:tc>
      </w:tr>
      <w:tr w:rsidR="00227727" w:rsidRPr="00227727" w14:paraId="4571D47E" w14:textId="77777777" w:rsidTr="00E772F3">
        <w:trPr>
          <w:trHeight w:val="288"/>
        </w:trPr>
        <w:tc>
          <w:tcPr>
            <w:tcW w:w="1960" w:type="pct"/>
            <w:noWrap/>
            <w:hideMark/>
          </w:tcPr>
          <w:p w14:paraId="1A1B86B7" w14:textId="77777777" w:rsidR="00227727" w:rsidRPr="00227727" w:rsidRDefault="00227727" w:rsidP="00E772F3">
            <w:pPr>
              <w:rPr>
                <w:rFonts w:ascii="Arial" w:eastAsia="Times New Roman" w:hAnsi="Arial" w:cs="Arial"/>
                <w:sz w:val="22"/>
              </w:rPr>
            </w:pPr>
            <w:r w:rsidRPr="00227727">
              <w:rPr>
                <w:rFonts w:ascii="Arial" w:eastAsia="Times New Roman" w:hAnsi="Arial" w:cs="Arial"/>
                <w:sz w:val="22"/>
              </w:rPr>
              <w:t>Employees Wellbeing</w:t>
            </w:r>
          </w:p>
        </w:tc>
        <w:tc>
          <w:tcPr>
            <w:tcW w:w="750" w:type="pct"/>
            <w:noWrap/>
            <w:hideMark/>
          </w:tcPr>
          <w:p w14:paraId="2D0BEBDB" w14:textId="77777777" w:rsidR="00227727" w:rsidRPr="00227727" w:rsidRDefault="00227727" w:rsidP="00E772F3">
            <w:pPr>
              <w:spacing w:line="360" w:lineRule="auto"/>
              <w:jc w:val="center"/>
              <w:rPr>
                <w:rFonts w:ascii="Arial" w:eastAsia="Times New Roman" w:hAnsi="Arial" w:cs="Arial"/>
                <w:sz w:val="22"/>
              </w:rPr>
            </w:pPr>
          </w:p>
        </w:tc>
        <w:tc>
          <w:tcPr>
            <w:tcW w:w="560" w:type="pct"/>
            <w:noWrap/>
            <w:hideMark/>
          </w:tcPr>
          <w:p w14:paraId="3D63EE13" w14:textId="77777777" w:rsidR="00227727" w:rsidRPr="00227727" w:rsidRDefault="00227727" w:rsidP="00E772F3">
            <w:pPr>
              <w:spacing w:line="360" w:lineRule="auto"/>
              <w:jc w:val="center"/>
              <w:rPr>
                <w:rFonts w:ascii="Arial" w:eastAsia="Times New Roman" w:hAnsi="Arial" w:cs="Arial"/>
                <w:sz w:val="22"/>
              </w:rPr>
            </w:pPr>
          </w:p>
        </w:tc>
        <w:tc>
          <w:tcPr>
            <w:tcW w:w="575" w:type="pct"/>
            <w:noWrap/>
            <w:hideMark/>
          </w:tcPr>
          <w:p w14:paraId="3DB12D9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7.961</w:t>
            </w:r>
          </w:p>
        </w:tc>
        <w:tc>
          <w:tcPr>
            <w:tcW w:w="529" w:type="pct"/>
            <w:noWrap/>
            <w:hideMark/>
          </w:tcPr>
          <w:p w14:paraId="512FAA4A" w14:textId="77777777" w:rsidR="00227727" w:rsidRPr="00227727" w:rsidRDefault="00227727" w:rsidP="00E772F3">
            <w:pPr>
              <w:spacing w:line="360" w:lineRule="auto"/>
              <w:jc w:val="center"/>
              <w:rPr>
                <w:rFonts w:ascii="Arial" w:eastAsia="Times New Roman" w:hAnsi="Arial" w:cs="Arial"/>
                <w:sz w:val="22"/>
              </w:rPr>
            </w:pPr>
          </w:p>
        </w:tc>
        <w:tc>
          <w:tcPr>
            <w:tcW w:w="626" w:type="pct"/>
            <w:noWrap/>
            <w:hideMark/>
          </w:tcPr>
          <w:p w14:paraId="2CA4B2F3"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391C3DED" w14:textId="77777777" w:rsidTr="00E772F3">
        <w:trPr>
          <w:trHeight w:val="288"/>
        </w:trPr>
        <w:tc>
          <w:tcPr>
            <w:tcW w:w="1960" w:type="pct"/>
            <w:noWrap/>
            <w:hideMark/>
          </w:tcPr>
          <w:p w14:paraId="3AF1B2CD" w14:textId="77777777" w:rsidR="00227727" w:rsidRPr="00227727" w:rsidRDefault="00227727" w:rsidP="00E772F3">
            <w:pPr>
              <w:rPr>
                <w:rFonts w:ascii="Arial" w:eastAsia="Times New Roman" w:hAnsi="Arial" w:cs="Arial"/>
                <w:sz w:val="22"/>
              </w:rPr>
            </w:pPr>
            <w:r w:rsidRPr="00227727">
              <w:rPr>
                <w:rFonts w:ascii="Arial" w:eastAsia="Times New Roman" w:hAnsi="Arial" w:cs="Arial"/>
                <w:sz w:val="22"/>
              </w:rPr>
              <w:t>HRM Practices</w:t>
            </w:r>
          </w:p>
        </w:tc>
        <w:tc>
          <w:tcPr>
            <w:tcW w:w="750" w:type="pct"/>
            <w:noWrap/>
            <w:hideMark/>
          </w:tcPr>
          <w:p w14:paraId="656531D2" w14:textId="77777777" w:rsidR="00227727" w:rsidRPr="00227727" w:rsidRDefault="00227727" w:rsidP="00E772F3">
            <w:pPr>
              <w:spacing w:line="360" w:lineRule="auto"/>
              <w:jc w:val="center"/>
              <w:rPr>
                <w:rFonts w:ascii="Arial" w:eastAsia="Times New Roman" w:hAnsi="Arial" w:cs="Arial"/>
                <w:sz w:val="22"/>
              </w:rPr>
            </w:pPr>
          </w:p>
        </w:tc>
        <w:tc>
          <w:tcPr>
            <w:tcW w:w="560" w:type="pct"/>
            <w:noWrap/>
            <w:hideMark/>
          </w:tcPr>
          <w:p w14:paraId="76352CD6" w14:textId="77777777" w:rsidR="00227727" w:rsidRPr="00227727" w:rsidRDefault="00227727" w:rsidP="00E772F3">
            <w:pPr>
              <w:spacing w:line="360" w:lineRule="auto"/>
              <w:jc w:val="center"/>
              <w:rPr>
                <w:rFonts w:ascii="Arial" w:eastAsia="Times New Roman" w:hAnsi="Arial" w:cs="Arial"/>
                <w:sz w:val="22"/>
              </w:rPr>
            </w:pPr>
          </w:p>
        </w:tc>
        <w:tc>
          <w:tcPr>
            <w:tcW w:w="575" w:type="pct"/>
            <w:noWrap/>
            <w:hideMark/>
          </w:tcPr>
          <w:p w14:paraId="71060EFE" w14:textId="77777777" w:rsidR="00227727" w:rsidRPr="00227727" w:rsidRDefault="00227727" w:rsidP="00E772F3">
            <w:pPr>
              <w:spacing w:line="360" w:lineRule="auto"/>
              <w:jc w:val="center"/>
              <w:rPr>
                <w:rFonts w:ascii="Arial" w:eastAsia="Times New Roman" w:hAnsi="Arial" w:cs="Arial"/>
                <w:sz w:val="22"/>
              </w:rPr>
            </w:pPr>
          </w:p>
        </w:tc>
        <w:tc>
          <w:tcPr>
            <w:tcW w:w="529" w:type="pct"/>
            <w:noWrap/>
            <w:hideMark/>
          </w:tcPr>
          <w:p w14:paraId="107A0CDA" w14:textId="77777777" w:rsidR="00227727" w:rsidRPr="00227727" w:rsidRDefault="00227727" w:rsidP="00E772F3">
            <w:pPr>
              <w:spacing w:line="360" w:lineRule="auto"/>
              <w:jc w:val="center"/>
              <w:rPr>
                <w:rFonts w:ascii="Arial" w:eastAsia="Times New Roman" w:hAnsi="Arial" w:cs="Arial"/>
                <w:sz w:val="22"/>
              </w:rPr>
            </w:pPr>
          </w:p>
        </w:tc>
        <w:tc>
          <w:tcPr>
            <w:tcW w:w="626" w:type="pct"/>
            <w:noWrap/>
            <w:hideMark/>
          </w:tcPr>
          <w:p w14:paraId="354BD44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2.933</w:t>
            </w:r>
          </w:p>
        </w:tc>
      </w:tr>
      <w:tr w:rsidR="00227727" w:rsidRPr="00227727" w14:paraId="1E134975" w14:textId="77777777" w:rsidTr="00E772F3">
        <w:trPr>
          <w:trHeight w:val="288"/>
        </w:trPr>
        <w:tc>
          <w:tcPr>
            <w:tcW w:w="1960" w:type="pct"/>
            <w:noWrap/>
            <w:hideMark/>
          </w:tcPr>
          <w:p w14:paraId="0B809088" w14:textId="77777777" w:rsidR="00227727" w:rsidRPr="00227727" w:rsidRDefault="00227727" w:rsidP="00E772F3">
            <w:pPr>
              <w:rPr>
                <w:rFonts w:ascii="Arial" w:eastAsia="Times New Roman" w:hAnsi="Arial" w:cs="Arial"/>
                <w:sz w:val="22"/>
              </w:rPr>
            </w:pPr>
            <w:r w:rsidRPr="00227727">
              <w:rPr>
                <w:rFonts w:ascii="Arial" w:eastAsia="Times New Roman" w:hAnsi="Arial" w:cs="Arial"/>
                <w:sz w:val="22"/>
              </w:rPr>
              <w:t>Job Performance</w:t>
            </w:r>
          </w:p>
        </w:tc>
        <w:tc>
          <w:tcPr>
            <w:tcW w:w="750" w:type="pct"/>
            <w:noWrap/>
            <w:hideMark/>
          </w:tcPr>
          <w:p w14:paraId="5E35664E" w14:textId="77777777" w:rsidR="00227727" w:rsidRPr="00227727" w:rsidRDefault="00227727" w:rsidP="00E772F3">
            <w:pPr>
              <w:spacing w:line="360" w:lineRule="auto"/>
              <w:jc w:val="center"/>
              <w:rPr>
                <w:rFonts w:ascii="Arial" w:eastAsia="Times New Roman" w:hAnsi="Arial" w:cs="Arial"/>
                <w:sz w:val="22"/>
              </w:rPr>
            </w:pPr>
          </w:p>
        </w:tc>
        <w:tc>
          <w:tcPr>
            <w:tcW w:w="560" w:type="pct"/>
            <w:noWrap/>
            <w:hideMark/>
          </w:tcPr>
          <w:p w14:paraId="41A2A151" w14:textId="77777777" w:rsidR="00227727" w:rsidRPr="00227727" w:rsidRDefault="00227727" w:rsidP="00E772F3">
            <w:pPr>
              <w:spacing w:line="360" w:lineRule="auto"/>
              <w:jc w:val="center"/>
              <w:rPr>
                <w:rFonts w:ascii="Arial" w:eastAsia="Times New Roman" w:hAnsi="Arial" w:cs="Arial"/>
                <w:sz w:val="22"/>
              </w:rPr>
            </w:pPr>
          </w:p>
        </w:tc>
        <w:tc>
          <w:tcPr>
            <w:tcW w:w="575" w:type="pct"/>
            <w:noWrap/>
            <w:hideMark/>
          </w:tcPr>
          <w:p w14:paraId="1713783F" w14:textId="77777777" w:rsidR="00227727" w:rsidRPr="00227727" w:rsidRDefault="00227727" w:rsidP="00E772F3">
            <w:pPr>
              <w:spacing w:line="360" w:lineRule="auto"/>
              <w:jc w:val="center"/>
              <w:rPr>
                <w:rFonts w:ascii="Arial" w:eastAsia="Times New Roman" w:hAnsi="Arial" w:cs="Arial"/>
                <w:sz w:val="22"/>
              </w:rPr>
            </w:pPr>
          </w:p>
        </w:tc>
        <w:tc>
          <w:tcPr>
            <w:tcW w:w="529" w:type="pct"/>
            <w:noWrap/>
            <w:hideMark/>
          </w:tcPr>
          <w:p w14:paraId="60F8B7DD" w14:textId="77777777" w:rsidR="00227727" w:rsidRPr="00227727" w:rsidRDefault="00227727" w:rsidP="00E772F3">
            <w:pPr>
              <w:spacing w:line="360" w:lineRule="auto"/>
              <w:jc w:val="center"/>
              <w:rPr>
                <w:rFonts w:ascii="Arial" w:eastAsia="Times New Roman" w:hAnsi="Arial" w:cs="Arial"/>
                <w:sz w:val="22"/>
              </w:rPr>
            </w:pPr>
          </w:p>
        </w:tc>
        <w:tc>
          <w:tcPr>
            <w:tcW w:w="626" w:type="pct"/>
            <w:noWrap/>
            <w:hideMark/>
          </w:tcPr>
          <w:p w14:paraId="40B29538"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0EB0374" w14:textId="77777777" w:rsidTr="00E772F3">
        <w:trPr>
          <w:trHeight w:val="288"/>
        </w:trPr>
        <w:tc>
          <w:tcPr>
            <w:tcW w:w="1960" w:type="pct"/>
            <w:noWrap/>
            <w:hideMark/>
          </w:tcPr>
          <w:p w14:paraId="64F5C540" w14:textId="77777777" w:rsidR="00227727" w:rsidRPr="00227727" w:rsidRDefault="00227727" w:rsidP="00E772F3">
            <w:pPr>
              <w:rPr>
                <w:rFonts w:ascii="Arial" w:eastAsia="Times New Roman" w:hAnsi="Arial" w:cs="Arial"/>
                <w:sz w:val="22"/>
              </w:rPr>
            </w:pPr>
            <w:r w:rsidRPr="00227727">
              <w:rPr>
                <w:rFonts w:ascii="Arial" w:eastAsia="Times New Roman" w:hAnsi="Arial" w:cs="Arial"/>
                <w:sz w:val="22"/>
              </w:rPr>
              <w:t>Job Satisfaction</w:t>
            </w:r>
          </w:p>
        </w:tc>
        <w:tc>
          <w:tcPr>
            <w:tcW w:w="750" w:type="pct"/>
            <w:noWrap/>
            <w:hideMark/>
          </w:tcPr>
          <w:p w14:paraId="439D077C" w14:textId="77777777" w:rsidR="00227727" w:rsidRPr="00227727" w:rsidRDefault="00227727" w:rsidP="00E772F3">
            <w:pPr>
              <w:spacing w:line="360" w:lineRule="auto"/>
              <w:jc w:val="center"/>
              <w:rPr>
                <w:rFonts w:ascii="Arial" w:eastAsia="Times New Roman" w:hAnsi="Arial" w:cs="Arial"/>
                <w:sz w:val="22"/>
              </w:rPr>
            </w:pPr>
          </w:p>
        </w:tc>
        <w:tc>
          <w:tcPr>
            <w:tcW w:w="560" w:type="pct"/>
            <w:noWrap/>
            <w:hideMark/>
          </w:tcPr>
          <w:p w14:paraId="7A34F4B6" w14:textId="77777777" w:rsidR="00227727" w:rsidRPr="00227727" w:rsidRDefault="00227727" w:rsidP="00E772F3">
            <w:pPr>
              <w:spacing w:line="360" w:lineRule="auto"/>
              <w:jc w:val="center"/>
              <w:rPr>
                <w:rFonts w:ascii="Arial" w:eastAsia="Times New Roman" w:hAnsi="Arial" w:cs="Arial"/>
                <w:sz w:val="22"/>
              </w:rPr>
            </w:pPr>
          </w:p>
        </w:tc>
        <w:tc>
          <w:tcPr>
            <w:tcW w:w="575" w:type="pct"/>
            <w:noWrap/>
            <w:hideMark/>
          </w:tcPr>
          <w:p w14:paraId="5C9CF40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7.013</w:t>
            </w:r>
          </w:p>
        </w:tc>
        <w:tc>
          <w:tcPr>
            <w:tcW w:w="529" w:type="pct"/>
            <w:noWrap/>
            <w:hideMark/>
          </w:tcPr>
          <w:p w14:paraId="0C4BCCBA" w14:textId="77777777" w:rsidR="00227727" w:rsidRPr="00227727" w:rsidRDefault="00227727" w:rsidP="00E772F3">
            <w:pPr>
              <w:spacing w:line="360" w:lineRule="auto"/>
              <w:jc w:val="center"/>
              <w:rPr>
                <w:rFonts w:ascii="Arial" w:eastAsia="Times New Roman" w:hAnsi="Arial" w:cs="Arial"/>
                <w:sz w:val="22"/>
              </w:rPr>
            </w:pPr>
          </w:p>
        </w:tc>
        <w:tc>
          <w:tcPr>
            <w:tcW w:w="626" w:type="pct"/>
            <w:noWrap/>
            <w:hideMark/>
          </w:tcPr>
          <w:p w14:paraId="52F9B6EA"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60A3BBF" w14:textId="77777777" w:rsidTr="00E772F3">
        <w:trPr>
          <w:trHeight w:val="288"/>
        </w:trPr>
        <w:tc>
          <w:tcPr>
            <w:tcW w:w="1960" w:type="pct"/>
            <w:noWrap/>
            <w:hideMark/>
          </w:tcPr>
          <w:p w14:paraId="62F047D0" w14:textId="77777777" w:rsidR="00227727" w:rsidRPr="00227727" w:rsidRDefault="00227727" w:rsidP="00E772F3">
            <w:pPr>
              <w:rPr>
                <w:rFonts w:ascii="Arial" w:eastAsia="Times New Roman" w:hAnsi="Arial" w:cs="Arial"/>
                <w:sz w:val="22"/>
              </w:rPr>
            </w:pPr>
            <w:r w:rsidRPr="00227727">
              <w:rPr>
                <w:rFonts w:ascii="Arial" w:eastAsia="Times New Roman" w:hAnsi="Arial" w:cs="Arial"/>
                <w:sz w:val="22"/>
              </w:rPr>
              <w:t>Job Stress</w:t>
            </w:r>
          </w:p>
        </w:tc>
        <w:tc>
          <w:tcPr>
            <w:tcW w:w="750" w:type="pct"/>
            <w:noWrap/>
            <w:hideMark/>
          </w:tcPr>
          <w:p w14:paraId="36FFEC20" w14:textId="77777777" w:rsidR="00227727" w:rsidRPr="00227727" w:rsidRDefault="00227727" w:rsidP="00E772F3">
            <w:pPr>
              <w:spacing w:line="360" w:lineRule="auto"/>
              <w:jc w:val="center"/>
              <w:rPr>
                <w:rFonts w:ascii="Arial" w:eastAsia="Times New Roman" w:hAnsi="Arial" w:cs="Arial"/>
                <w:sz w:val="22"/>
              </w:rPr>
            </w:pPr>
          </w:p>
        </w:tc>
        <w:tc>
          <w:tcPr>
            <w:tcW w:w="560" w:type="pct"/>
            <w:noWrap/>
            <w:hideMark/>
          </w:tcPr>
          <w:p w14:paraId="1312613E" w14:textId="77777777" w:rsidR="00227727" w:rsidRPr="00227727" w:rsidRDefault="00227727" w:rsidP="00E772F3">
            <w:pPr>
              <w:spacing w:line="360" w:lineRule="auto"/>
              <w:jc w:val="center"/>
              <w:rPr>
                <w:rFonts w:ascii="Arial" w:eastAsia="Times New Roman" w:hAnsi="Arial" w:cs="Arial"/>
                <w:sz w:val="22"/>
              </w:rPr>
            </w:pPr>
          </w:p>
        </w:tc>
        <w:tc>
          <w:tcPr>
            <w:tcW w:w="575" w:type="pct"/>
            <w:noWrap/>
            <w:hideMark/>
          </w:tcPr>
          <w:p w14:paraId="4329444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5.583</w:t>
            </w:r>
          </w:p>
        </w:tc>
        <w:tc>
          <w:tcPr>
            <w:tcW w:w="529" w:type="pct"/>
            <w:noWrap/>
            <w:hideMark/>
          </w:tcPr>
          <w:p w14:paraId="212DB0A3" w14:textId="77777777" w:rsidR="00227727" w:rsidRPr="00227727" w:rsidRDefault="00227727" w:rsidP="00E772F3">
            <w:pPr>
              <w:spacing w:line="360" w:lineRule="auto"/>
              <w:jc w:val="center"/>
              <w:rPr>
                <w:rFonts w:ascii="Arial" w:eastAsia="Times New Roman" w:hAnsi="Arial" w:cs="Arial"/>
                <w:sz w:val="22"/>
              </w:rPr>
            </w:pPr>
          </w:p>
        </w:tc>
        <w:tc>
          <w:tcPr>
            <w:tcW w:w="626" w:type="pct"/>
            <w:noWrap/>
            <w:hideMark/>
          </w:tcPr>
          <w:p w14:paraId="70DE2A50"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02023491" w14:textId="77777777" w:rsidTr="00E772F3">
        <w:trPr>
          <w:trHeight w:val="288"/>
        </w:trPr>
        <w:tc>
          <w:tcPr>
            <w:tcW w:w="1960" w:type="pct"/>
            <w:noWrap/>
            <w:hideMark/>
          </w:tcPr>
          <w:p w14:paraId="21A2CB75" w14:textId="77777777" w:rsidR="00227727" w:rsidRPr="00227727" w:rsidRDefault="00227727" w:rsidP="00E772F3">
            <w:pPr>
              <w:rPr>
                <w:rFonts w:ascii="Arial" w:eastAsia="Times New Roman" w:hAnsi="Arial" w:cs="Arial"/>
                <w:sz w:val="22"/>
              </w:rPr>
            </w:pPr>
            <w:r w:rsidRPr="00227727">
              <w:rPr>
                <w:rFonts w:ascii="Arial" w:eastAsia="Times New Roman" w:hAnsi="Arial" w:cs="Arial"/>
                <w:sz w:val="22"/>
              </w:rPr>
              <w:t>Smarter Working</w:t>
            </w:r>
          </w:p>
        </w:tc>
        <w:tc>
          <w:tcPr>
            <w:tcW w:w="750" w:type="pct"/>
            <w:noWrap/>
            <w:hideMark/>
          </w:tcPr>
          <w:p w14:paraId="7D63FC6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1.000</w:t>
            </w:r>
          </w:p>
        </w:tc>
        <w:tc>
          <w:tcPr>
            <w:tcW w:w="560" w:type="pct"/>
            <w:noWrap/>
            <w:hideMark/>
          </w:tcPr>
          <w:p w14:paraId="7FD6DE65" w14:textId="77777777" w:rsidR="00227727" w:rsidRPr="00227727" w:rsidRDefault="00227727" w:rsidP="00E772F3">
            <w:pPr>
              <w:spacing w:line="360" w:lineRule="auto"/>
              <w:jc w:val="center"/>
              <w:rPr>
                <w:rFonts w:ascii="Arial" w:eastAsia="Times New Roman" w:hAnsi="Arial" w:cs="Arial"/>
                <w:sz w:val="22"/>
              </w:rPr>
            </w:pPr>
          </w:p>
        </w:tc>
        <w:tc>
          <w:tcPr>
            <w:tcW w:w="575" w:type="pct"/>
            <w:noWrap/>
            <w:hideMark/>
          </w:tcPr>
          <w:p w14:paraId="711EC6F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3.632</w:t>
            </w:r>
          </w:p>
        </w:tc>
        <w:tc>
          <w:tcPr>
            <w:tcW w:w="529" w:type="pct"/>
            <w:noWrap/>
            <w:hideMark/>
          </w:tcPr>
          <w:p w14:paraId="44C30E4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1.000</w:t>
            </w:r>
          </w:p>
        </w:tc>
        <w:tc>
          <w:tcPr>
            <w:tcW w:w="626" w:type="pct"/>
            <w:noWrap/>
            <w:hideMark/>
          </w:tcPr>
          <w:p w14:paraId="0A08787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2.628</w:t>
            </w:r>
          </w:p>
        </w:tc>
      </w:tr>
      <w:tr w:rsidR="00227727" w:rsidRPr="00227727" w14:paraId="29D0FE29" w14:textId="77777777" w:rsidTr="00E772F3">
        <w:trPr>
          <w:trHeight w:val="288"/>
        </w:trPr>
        <w:tc>
          <w:tcPr>
            <w:tcW w:w="1960" w:type="pct"/>
            <w:noWrap/>
            <w:hideMark/>
          </w:tcPr>
          <w:p w14:paraId="29A74F28" w14:textId="77777777" w:rsidR="00227727" w:rsidRPr="00227727" w:rsidRDefault="00227727" w:rsidP="00E772F3">
            <w:pPr>
              <w:rPr>
                <w:rFonts w:ascii="Arial" w:eastAsia="Times New Roman" w:hAnsi="Arial" w:cs="Arial"/>
                <w:sz w:val="22"/>
              </w:rPr>
            </w:pPr>
            <w:r w:rsidRPr="00227727">
              <w:rPr>
                <w:rFonts w:ascii="Arial" w:eastAsia="Times New Roman" w:hAnsi="Arial" w:cs="Arial"/>
                <w:sz w:val="22"/>
              </w:rPr>
              <w:t>HRM Practices x Smarter Working</w:t>
            </w:r>
          </w:p>
        </w:tc>
        <w:tc>
          <w:tcPr>
            <w:tcW w:w="750" w:type="pct"/>
            <w:noWrap/>
            <w:hideMark/>
          </w:tcPr>
          <w:p w14:paraId="12947905" w14:textId="77777777" w:rsidR="00227727" w:rsidRPr="00227727" w:rsidRDefault="00227727" w:rsidP="00E772F3">
            <w:pPr>
              <w:spacing w:line="360" w:lineRule="auto"/>
              <w:jc w:val="center"/>
              <w:rPr>
                <w:rFonts w:ascii="Arial" w:eastAsia="Times New Roman" w:hAnsi="Arial" w:cs="Arial"/>
                <w:sz w:val="22"/>
              </w:rPr>
            </w:pPr>
          </w:p>
        </w:tc>
        <w:tc>
          <w:tcPr>
            <w:tcW w:w="560" w:type="pct"/>
            <w:noWrap/>
            <w:hideMark/>
          </w:tcPr>
          <w:p w14:paraId="64F363DF" w14:textId="77777777" w:rsidR="00227727" w:rsidRPr="00227727" w:rsidRDefault="00227727" w:rsidP="00E772F3">
            <w:pPr>
              <w:spacing w:line="360" w:lineRule="auto"/>
              <w:jc w:val="center"/>
              <w:rPr>
                <w:rFonts w:ascii="Arial" w:eastAsia="Times New Roman" w:hAnsi="Arial" w:cs="Arial"/>
                <w:sz w:val="22"/>
              </w:rPr>
            </w:pPr>
          </w:p>
        </w:tc>
        <w:tc>
          <w:tcPr>
            <w:tcW w:w="575" w:type="pct"/>
            <w:noWrap/>
            <w:hideMark/>
          </w:tcPr>
          <w:p w14:paraId="684B3E8C" w14:textId="77777777" w:rsidR="00227727" w:rsidRPr="00227727" w:rsidRDefault="00227727" w:rsidP="00E772F3">
            <w:pPr>
              <w:spacing w:line="360" w:lineRule="auto"/>
              <w:jc w:val="center"/>
              <w:rPr>
                <w:rFonts w:ascii="Arial" w:eastAsia="Times New Roman" w:hAnsi="Arial" w:cs="Arial"/>
                <w:sz w:val="22"/>
              </w:rPr>
            </w:pPr>
          </w:p>
        </w:tc>
        <w:tc>
          <w:tcPr>
            <w:tcW w:w="529" w:type="pct"/>
            <w:noWrap/>
            <w:hideMark/>
          </w:tcPr>
          <w:p w14:paraId="29AB6737" w14:textId="77777777" w:rsidR="00227727" w:rsidRPr="00227727" w:rsidRDefault="00227727" w:rsidP="00E772F3">
            <w:pPr>
              <w:spacing w:line="360" w:lineRule="auto"/>
              <w:jc w:val="center"/>
              <w:rPr>
                <w:rFonts w:ascii="Arial" w:eastAsia="Times New Roman" w:hAnsi="Arial" w:cs="Arial"/>
                <w:sz w:val="22"/>
              </w:rPr>
            </w:pPr>
          </w:p>
        </w:tc>
        <w:tc>
          <w:tcPr>
            <w:tcW w:w="626" w:type="pct"/>
            <w:noWrap/>
            <w:hideMark/>
          </w:tcPr>
          <w:p w14:paraId="2FA3611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2.859</w:t>
            </w:r>
          </w:p>
        </w:tc>
      </w:tr>
    </w:tbl>
    <w:p w14:paraId="51B32AF5" w14:textId="77777777" w:rsidR="00227727" w:rsidRPr="00227727" w:rsidRDefault="00227727" w:rsidP="00227727">
      <w:pPr>
        <w:pStyle w:val="Heading2"/>
        <w:spacing w:line="360" w:lineRule="auto"/>
        <w:rPr>
          <w:rFonts w:ascii="Arial" w:hAnsi="Arial" w:cs="Arial"/>
          <w:sz w:val="24"/>
          <w:szCs w:val="24"/>
        </w:rPr>
      </w:pPr>
    </w:p>
    <w:p w14:paraId="6183DE75" w14:textId="77777777" w:rsidR="00227727" w:rsidRPr="00227727" w:rsidRDefault="00227727" w:rsidP="00227727">
      <w:pPr>
        <w:pStyle w:val="Heading4"/>
        <w:spacing w:line="360" w:lineRule="auto"/>
        <w:rPr>
          <w:rFonts w:ascii="Arial" w:hAnsi="Arial" w:cs="Arial"/>
          <w:i w:val="0"/>
        </w:rPr>
      </w:pPr>
      <w:r w:rsidRPr="00227727">
        <w:rPr>
          <w:rFonts w:ascii="Arial" w:hAnsi="Arial" w:cs="Arial"/>
          <w:i w:val="0"/>
        </w:rPr>
        <w:t>Assessment of Measurement Model</w:t>
      </w:r>
    </w:p>
    <w:p w14:paraId="1AFA0619"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The measurement model assessment evaluates the constructs' convergent validity, discriminant validity, and reliability to ensure the research findings are accurate and robust. These assessments determine whether the latent variables accurately measure their respective constructs and are sufficiently distinct from one another (Hair et al., 2019). The factor loadings in Table 4.5 provide information about the strength of each item's contribution to its construct.  Factor loadings greater than 0.70 are generally accepted as indicators of convergent validity (Fornell &amp; Larcker, 1981). The results show that all items load above 0.70, with the majority exceeding 0.75, confirming that each indicator accurately represents its construct.</w:t>
      </w:r>
    </w:p>
    <w:p w14:paraId="04C8AD86" w14:textId="77777777" w:rsidR="00227727" w:rsidRPr="00227727" w:rsidRDefault="00227727" w:rsidP="00227727">
      <w:pPr>
        <w:pStyle w:val="Heading4"/>
        <w:spacing w:line="360" w:lineRule="auto"/>
        <w:rPr>
          <w:rFonts w:ascii="Arial" w:hAnsi="Arial" w:cs="Arial"/>
        </w:rPr>
      </w:pPr>
      <w:r w:rsidRPr="00227727">
        <w:rPr>
          <w:rFonts w:ascii="Arial" w:hAnsi="Arial" w:cs="Arial"/>
        </w:rPr>
        <w:t>Convergent Validity</w:t>
      </w:r>
    </w:p>
    <w:p w14:paraId="21B5A940"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Factor loadings represent the degree to which each observed variable correlates with its latent construct, which is critical for validating the measurement model. According to Hair et al. (2019), factor loadings greater than 0.70 are considered acceptable, indicating that the item contributes significantly to explaining its relevant construct. A series of algorithm technique was applied to reach all values higher than 0.70. Some items were deleted from the model due to lower factor loadings including JS1, JS2, JSA7, JSA8, JSA9, JSA10, JP5, JP6 and JP7. The results in Table 4.5 confirm that all items meet this threshold, indicating strong convergent validity. HRM Practices (HRMP1-HRMP4) have loadings ranging from 0.765 to 0.811, indicating their reliability in measuring human resource management strategies. Similarly, Job Performance (JP1-JP4) has factor loadings ranging from 0.781 to 0.811, indicating that the construct accurately captures variations in employee performance.</w:t>
      </w:r>
    </w:p>
    <w:p w14:paraId="512ABF3C"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The factor loadings for Job Stress (JS3-JS9) range from 0.752 to 0.829, with all values above the recommended 0.70 cutoff (Chin, 1998). This suggests that these indicators significantly contribute to measuring job-related stress levels. Similarly, Job Satisfaction (JSA1-JSA6) has high loadings of 0.790 to 0.864, indicating a well-defined construct accurately capturing employees' perceptions of workplace satisfaction. Notably, Employees' Well-being (PW1-PW7) has strong factor loadings ranging from 0.800 to 0.861, reinforcing its measurement validity. These results are consistent with Fornell and Larcker (1981) criteria, as high loadings indicate that items adequately represent their respective constructs. The Smarter Working construct (SW1-SW6) has loadings ranging from 0.734 to 0.757, slightly lower than the other constructs but still within the acceptable range of 0.70 and above (Henseler et al., 2015). Finally, the study meets the criteria of factor loadings.</w:t>
      </w:r>
    </w:p>
    <w:p w14:paraId="6FF74978"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4.5.</w:t>
      </w:r>
      <w:r w:rsidRPr="00227727">
        <w:rPr>
          <w:rFonts w:ascii="Arial" w:hAnsi="Arial" w:cs="Arial"/>
          <w:sz w:val="24"/>
          <w:szCs w:val="24"/>
          <w:lang w:bidi="ta-IN"/>
        </w:rPr>
        <w:t xml:space="preserve"> Factor Loadings</w:t>
      </w:r>
    </w:p>
    <w:tbl>
      <w:tblPr>
        <w:tblStyle w:val="ListTable6Colourful"/>
        <w:tblW w:w="5000" w:type="pct"/>
        <w:tblLayout w:type="fixed"/>
        <w:tblLook w:val="0620" w:firstRow="1" w:lastRow="0" w:firstColumn="0" w:lastColumn="0" w:noHBand="1" w:noVBand="1"/>
      </w:tblPr>
      <w:tblGrid>
        <w:gridCol w:w="1081"/>
        <w:gridCol w:w="1910"/>
        <w:gridCol w:w="1516"/>
        <w:gridCol w:w="1733"/>
        <w:gridCol w:w="1649"/>
        <w:gridCol w:w="1165"/>
        <w:gridCol w:w="1712"/>
      </w:tblGrid>
      <w:tr w:rsidR="00227727" w:rsidRPr="00227727" w14:paraId="388C032F"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502" w:type="pct"/>
            <w:shd w:val="clear" w:color="auto" w:fill="auto"/>
            <w:noWrap/>
            <w:hideMark/>
          </w:tcPr>
          <w:p w14:paraId="7CCA774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Items</w:t>
            </w:r>
          </w:p>
        </w:tc>
        <w:tc>
          <w:tcPr>
            <w:tcW w:w="887" w:type="pct"/>
            <w:shd w:val="clear" w:color="auto" w:fill="auto"/>
            <w:noWrap/>
            <w:hideMark/>
          </w:tcPr>
          <w:p w14:paraId="7E4ED43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Employees Wellbeing</w:t>
            </w:r>
          </w:p>
        </w:tc>
        <w:tc>
          <w:tcPr>
            <w:tcW w:w="704" w:type="pct"/>
            <w:shd w:val="clear" w:color="auto" w:fill="auto"/>
            <w:noWrap/>
            <w:hideMark/>
          </w:tcPr>
          <w:p w14:paraId="312FC10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HRM Practices</w:t>
            </w:r>
          </w:p>
        </w:tc>
        <w:tc>
          <w:tcPr>
            <w:tcW w:w="805" w:type="pct"/>
            <w:shd w:val="clear" w:color="auto" w:fill="auto"/>
            <w:noWrap/>
            <w:hideMark/>
          </w:tcPr>
          <w:p w14:paraId="100C35C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Performance</w:t>
            </w:r>
          </w:p>
        </w:tc>
        <w:tc>
          <w:tcPr>
            <w:tcW w:w="766" w:type="pct"/>
            <w:shd w:val="clear" w:color="auto" w:fill="auto"/>
            <w:noWrap/>
            <w:hideMark/>
          </w:tcPr>
          <w:p w14:paraId="3F77FB2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Satisfaction</w:t>
            </w:r>
          </w:p>
        </w:tc>
        <w:tc>
          <w:tcPr>
            <w:tcW w:w="541" w:type="pct"/>
            <w:shd w:val="clear" w:color="auto" w:fill="auto"/>
            <w:noWrap/>
            <w:hideMark/>
          </w:tcPr>
          <w:p w14:paraId="78EA8AD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Stress</w:t>
            </w:r>
          </w:p>
        </w:tc>
        <w:tc>
          <w:tcPr>
            <w:tcW w:w="795" w:type="pct"/>
            <w:shd w:val="clear" w:color="auto" w:fill="auto"/>
            <w:noWrap/>
            <w:hideMark/>
          </w:tcPr>
          <w:p w14:paraId="58DD30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Smarter Working</w:t>
            </w:r>
          </w:p>
        </w:tc>
      </w:tr>
      <w:tr w:rsidR="00227727" w:rsidRPr="00227727" w14:paraId="5DEBE4EF" w14:textId="77777777" w:rsidTr="00E772F3">
        <w:trPr>
          <w:trHeight w:val="288"/>
        </w:trPr>
        <w:tc>
          <w:tcPr>
            <w:tcW w:w="502" w:type="pct"/>
            <w:shd w:val="clear" w:color="auto" w:fill="auto"/>
            <w:noWrap/>
            <w:hideMark/>
          </w:tcPr>
          <w:p w14:paraId="6E62E77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HRMP1</w:t>
            </w:r>
          </w:p>
        </w:tc>
        <w:tc>
          <w:tcPr>
            <w:tcW w:w="887" w:type="pct"/>
            <w:shd w:val="clear" w:color="auto" w:fill="auto"/>
            <w:noWrap/>
            <w:hideMark/>
          </w:tcPr>
          <w:p w14:paraId="635654FC"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02072D8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0.765</w:t>
            </w:r>
          </w:p>
        </w:tc>
        <w:tc>
          <w:tcPr>
            <w:tcW w:w="805" w:type="pct"/>
            <w:shd w:val="clear" w:color="auto" w:fill="auto"/>
            <w:noWrap/>
            <w:hideMark/>
          </w:tcPr>
          <w:p w14:paraId="686A4FAF"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517FDCE5"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314A1263"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01B0279A"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65CA00C" w14:textId="77777777" w:rsidTr="00E772F3">
        <w:trPr>
          <w:trHeight w:val="288"/>
        </w:trPr>
        <w:tc>
          <w:tcPr>
            <w:tcW w:w="502" w:type="pct"/>
            <w:shd w:val="clear" w:color="auto" w:fill="auto"/>
            <w:noWrap/>
            <w:hideMark/>
          </w:tcPr>
          <w:p w14:paraId="3DBA823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HRMP2</w:t>
            </w:r>
          </w:p>
        </w:tc>
        <w:tc>
          <w:tcPr>
            <w:tcW w:w="887" w:type="pct"/>
            <w:shd w:val="clear" w:color="auto" w:fill="auto"/>
            <w:noWrap/>
            <w:hideMark/>
          </w:tcPr>
          <w:p w14:paraId="3721425B"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11FB6B8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0.785</w:t>
            </w:r>
          </w:p>
        </w:tc>
        <w:tc>
          <w:tcPr>
            <w:tcW w:w="805" w:type="pct"/>
            <w:shd w:val="clear" w:color="auto" w:fill="auto"/>
            <w:noWrap/>
            <w:hideMark/>
          </w:tcPr>
          <w:p w14:paraId="75583AE2"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54D7D614"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773C9F58"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6BB9EA41"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E5D1B45" w14:textId="77777777" w:rsidTr="00E772F3">
        <w:trPr>
          <w:trHeight w:val="288"/>
        </w:trPr>
        <w:tc>
          <w:tcPr>
            <w:tcW w:w="502" w:type="pct"/>
            <w:shd w:val="clear" w:color="auto" w:fill="auto"/>
            <w:noWrap/>
            <w:hideMark/>
          </w:tcPr>
          <w:p w14:paraId="3A74BD8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lastRenderedPageBreak/>
              <w:t>HRMP3</w:t>
            </w:r>
          </w:p>
        </w:tc>
        <w:tc>
          <w:tcPr>
            <w:tcW w:w="887" w:type="pct"/>
            <w:shd w:val="clear" w:color="auto" w:fill="auto"/>
            <w:noWrap/>
            <w:hideMark/>
          </w:tcPr>
          <w:p w14:paraId="2B96F334"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58FCD69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0.811</w:t>
            </w:r>
          </w:p>
        </w:tc>
        <w:tc>
          <w:tcPr>
            <w:tcW w:w="805" w:type="pct"/>
            <w:shd w:val="clear" w:color="auto" w:fill="auto"/>
            <w:noWrap/>
            <w:hideMark/>
          </w:tcPr>
          <w:p w14:paraId="76C19B13"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7C670C87"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18589526"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195EA142"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213030FB" w14:textId="77777777" w:rsidTr="00E772F3">
        <w:trPr>
          <w:trHeight w:val="288"/>
        </w:trPr>
        <w:tc>
          <w:tcPr>
            <w:tcW w:w="502" w:type="pct"/>
            <w:shd w:val="clear" w:color="auto" w:fill="auto"/>
            <w:noWrap/>
            <w:hideMark/>
          </w:tcPr>
          <w:p w14:paraId="34EC0C0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HRMP4</w:t>
            </w:r>
          </w:p>
        </w:tc>
        <w:tc>
          <w:tcPr>
            <w:tcW w:w="887" w:type="pct"/>
            <w:shd w:val="clear" w:color="auto" w:fill="auto"/>
            <w:noWrap/>
            <w:hideMark/>
          </w:tcPr>
          <w:p w14:paraId="5E96E400"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5DB5C45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0.774</w:t>
            </w:r>
          </w:p>
        </w:tc>
        <w:tc>
          <w:tcPr>
            <w:tcW w:w="805" w:type="pct"/>
            <w:shd w:val="clear" w:color="auto" w:fill="auto"/>
            <w:noWrap/>
            <w:hideMark/>
          </w:tcPr>
          <w:p w14:paraId="21393BFB"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2BBEDCE2"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542C95A1"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4D751EEC"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27F9BAE2" w14:textId="77777777" w:rsidTr="00E772F3">
        <w:trPr>
          <w:trHeight w:val="288"/>
        </w:trPr>
        <w:tc>
          <w:tcPr>
            <w:tcW w:w="502" w:type="pct"/>
            <w:shd w:val="clear" w:color="auto" w:fill="auto"/>
            <w:noWrap/>
            <w:hideMark/>
          </w:tcPr>
          <w:p w14:paraId="50D3E09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JP1</w:t>
            </w:r>
          </w:p>
        </w:tc>
        <w:tc>
          <w:tcPr>
            <w:tcW w:w="887" w:type="pct"/>
            <w:shd w:val="clear" w:color="auto" w:fill="auto"/>
            <w:noWrap/>
            <w:hideMark/>
          </w:tcPr>
          <w:p w14:paraId="6B5B6DF9"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2D96CBFD"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0D1C7D5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0.811</w:t>
            </w:r>
          </w:p>
        </w:tc>
        <w:tc>
          <w:tcPr>
            <w:tcW w:w="766" w:type="pct"/>
            <w:shd w:val="clear" w:color="auto" w:fill="auto"/>
            <w:noWrap/>
            <w:hideMark/>
          </w:tcPr>
          <w:p w14:paraId="1901DABC"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77312D7E"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34AB3AC1"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3692B53" w14:textId="77777777" w:rsidTr="00E772F3">
        <w:trPr>
          <w:trHeight w:val="288"/>
        </w:trPr>
        <w:tc>
          <w:tcPr>
            <w:tcW w:w="502" w:type="pct"/>
            <w:shd w:val="clear" w:color="auto" w:fill="auto"/>
            <w:noWrap/>
            <w:hideMark/>
          </w:tcPr>
          <w:p w14:paraId="32832F7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JP2</w:t>
            </w:r>
          </w:p>
        </w:tc>
        <w:tc>
          <w:tcPr>
            <w:tcW w:w="887" w:type="pct"/>
            <w:shd w:val="clear" w:color="auto" w:fill="auto"/>
            <w:noWrap/>
            <w:hideMark/>
          </w:tcPr>
          <w:p w14:paraId="6DC1C1DF"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3D3784B1"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15EA5DB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0.799</w:t>
            </w:r>
          </w:p>
        </w:tc>
        <w:tc>
          <w:tcPr>
            <w:tcW w:w="766" w:type="pct"/>
            <w:shd w:val="clear" w:color="auto" w:fill="auto"/>
            <w:noWrap/>
            <w:hideMark/>
          </w:tcPr>
          <w:p w14:paraId="5B1AAA32"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29002325"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05511A43"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C6D5300" w14:textId="77777777" w:rsidTr="00E772F3">
        <w:trPr>
          <w:trHeight w:val="288"/>
        </w:trPr>
        <w:tc>
          <w:tcPr>
            <w:tcW w:w="502" w:type="pct"/>
            <w:shd w:val="clear" w:color="auto" w:fill="auto"/>
            <w:noWrap/>
            <w:hideMark/>
          </w:tcPr>
          <w:p w14:paraId="44AFBE5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JP3</w:t>
            </w:r>
          </w:p>
        </w:tc>
        <w:tc>
          <w:tcPr>
            <w:tcW w:w="887" w:type="pct"/>
            <w:shd w:val="clear" w:color="auto" w:fill="auto"/>
            <w:noWrap/>
            <w:hideMark/>
          </w:tcPr>
          <w:p w14:paraId="25269389"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53F6A684"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385EF53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0.781</w:t>
            </w:r>
          </w:p>
        </w:tc>
        <w:tc>
          <w:tcPr>
            <w:tcW w:w="766" w:type="pct"/>
            <w:shd w:val="clear" w:color="auto" w:fill="auto"/>
            <w:noWrap/>
            <w:hideMark/>
          </w:tcPr>
          <w:p w14:paraId="2DF1071C"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12AA7A64"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3126112A"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421C4F39" w14:textId="77777777" w:rsidTr="00E772F3">
        <w:trPr>
          <w:trHeight w:val="288"/>
        </w:trPr>
        <w:tc>
          <w:tcPr>
            <w:tcW w:w="502" w:type="pct"/>
            <w:shd w:val="clear" w:color="auto" w:fill="auto"/>
            <w:noWrap/>
            <w:hideMark/>
          </w:tcPr>
          <w:p w14:paraId="2915D93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JP4</w:t>
            </w:r>
          </w:p>
        </w:tc>
        <w:tc>
          <w:tcPr>
            <w:tcW w:w="887" w:type="pct"/>
            <w:shd w:val="clear" w:color="auto" w:fill="auto"/>
            <w:noWrap/>
            <w:hideMark/>
          </w:tcPr>
          <w:p w14:paraId="463A6E31"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4AA22085"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48C67C8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0.800</w:t>
            </w:r>
          </w:p>
        </w:tc>
        <w:tc>
          <w:tcPr>
            <w:tcW w:w="766" w:type="pct"/>
            <w:shd w:val="clear" w:color="auto" w:fill="auto"/>
            <w:noWrap/>
            <w:hideMark/>
          </w:tcPr>
          <w:p w14:paraId="01A47508"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1D2A5E8B"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7D79BB88"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27DAA4D0" w14:textId="77777777" w:rsidTr="00E772F3">
        <w:trPr>
          <w:trHeight w:val="288"/>
        </w:trPr>
        <w:tc>
          <w:tcPr>
            <w:tcW w:w="502" w:type="pct"/>
            <w:shd w:val="clear" w:color="auto" w:fill="auto"/>
            <w:noWrap/>
            <w:hideMark/>
          </w:tcPr>
          <w:p w14:paraId="531814B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JS3</w:t>
            </w:r>
          </w:p>
        </w:tc>
        <w:tc>
          <w:tcPr>
            <w:tcW w:w="887" w:type="pct"/>
            <w:shd w:val="clear" w:color="auto" w:fill="auto"/>
            <w:noWrap/>
            <w:hideMark/>
          </w:tcPr>
          <w:p w14:paraId="5DDEEC72"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4C21ADF3"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431B29A1"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0418E3FA"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49EEA32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0.829</w:t>
            </w:r>
          </w:p>
        </w:tc>
        <w:tc>
          <w:tcPr>
            <w:tcW w:w="795" w:type="pct"/>
            <w:shd w:val="clear" w:color="auto" w:fill="auto"/>
            <w:noWrap/>
            <w:hideMark/>
          </w:tcPr>
          <w:p w14:paraId="62F68F0C"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FC2483D" w14:textId="77777777" w:rsidTr="00E772F3">
        <w:trPr>
          <w:trHeight w:val="288"/>
        </w:trPr>
        <w:tc>
          <w:tcPr>
            <w:tcW w:w="502" w:type="pct"/>
            <w:shd w:val="clear" w:color="auto" w:fill="auto"/>
            <w:noWrap/>
            <w:hideMark/>
          </w:tcPr>
          <w:p w14:paraId="09F1972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JS4</w:t>
            </w:r>
          </w:p>
        </w:tc>
        <w:tc>
          <w:tcPr>
            <w:tcW w:w="887" w:type="pct"/>
            <w:shd w:val="clear" w:color="auto" w:fill="auto"/>
            <w:noWrap/>
            <w:hideMark/>
          </w:tcPr>
          <w:p w14:paraId="144099F9"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0D5FA107"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28B14C88"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34D1BFB8"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6DB4C62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0.806</w:t>
            </w:r>
          </w:p>
        </w:tc>
        <w:tc>
          <w:tcPr>
            <w:tcW w:w="795" w:type="pct"/>
            <w:shd w:val="clear" w:color="auto" w:fill="auto"/>
            <w:noWrap/>
            <w:hideMark/>
          </w:tcPr>
          <w:p w14:paraId="4B232EAC"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421978A" w14:textId="77777777" w:rsidTr="00E772F3">
        <w:trPr>
          <w:trHeight w:val="288"/>
        </w:trPr>
        <w:tc>
          <w:tcPr>
            <w:tcW w:w="502" w:type="pct"/>
            <w:shd w:val="clear" w:color="auto" w:fill="auto"/>
            <w:noWrap/>
            <w:hideMark/>
          </w:tcPr>
          <w:p w14:paraId="7B5A182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JS5</w:t>
            </w:r>
          </w:p>
        </w:tc>
        <w:tc>
          <w:tcPr>
            <w:tcW w:w="887" w:type="pct"/>
            <w:shd w:val="clear" w:color="auto" w:fill="auto"/>
            <w:noWrap/>
            <w:hideMark/>
          </w:tcPr>
          <w:p w14:paraId="4A5CD799"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66C7DD2D"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1C7CE3F6"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7E421B52"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491F198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0.776</w:t>
            </w:r>
          </w:p>
        </w:tc>
        <w:tc>
          <w:tcPr>
            <w:tcW w:w="795" w:type="pct"/>
            <w:shd w:val="clear" w:color="auto" w:fill="auto"/>
            <w:noWrap/>
            <w:hideMark/>
          </w:tcPr>
          <w:p w14:paraId="4922B90A"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60F5EB6D" w14:textId="77777777" w:rsidTr="00E772F3">
        <w:trPr>
          <w:trHeight w:val="288"/>
        </w:trPr>
        <w:tc>
          <w:tcPr>
            <w:tcW w:w="502" w:type="pct"/>
            <w:shd w:val="clear" w:color="auto" w:fill="auto"/>
            <w:noWrap/>
            <w:hideMark/>
          </w:tcPr>
          <w:p w14:paraId="27BF59F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JS6</w:t>
            </w:r>
          </w:p>
        </w:tc>
        <w:tc>
          <w:tcPr>
            <w:tcW w:w="887" w:type="pct"/>
            <w:shd w:val="clear" w:color="auto" w:fill="auto"/>
            <w:noWrap/>
            <w:hideMark/>
          </w:tcPr>
          <w:p w14:paraId="72EBCBA5"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5AF0747F"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55B21A35"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2CA43693"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32CE7EA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0.752</w:t>
            </w:r>
          </w:p>
        </w:tc>
        <w:tc>
          <w:tcPr>
            <w:tcW w:w="795" w:type="pct"/>
            <w:shd w:val="clear" w:color="auto" w:fill="auto"/>
            <w:noWrap/>
            <w:hideMark/>
          </w:tcPr>
          <w:p w14:paraId="36DD403B"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9C389A7" w14:textId="77777777" w:rsidTr="00E772F3">
        <w:trPr>
          <w:trHeight w:val="288"/>
        </w:trPr>
        <w:tc>
          <w:tcPr>
            <w:tcW w:w="502" w:type="pct"/>
            <w:shd w:val="clear" w:color="auto" w:fill="auto"/>
            <w:noWrap/>
            <w:hideMark/>
          </w:tcPr>
          <w:p w14:paraId="5555A63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JS7</w:t>
            </w:r>
          </w:p>
        </w:tc>
        <w:tc>
          <w:tcPr>
            <w:tcW w:w="887" w:type="pct"/>
            <w:shd w:val="clear" w:color="auto" w:fill="auto"/>
            <w:noWrap/>
            <w:hideMark/>
          </w:tcPr>
          <w:p w14:paraId="51D5675D"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02EB3228"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13EFD411"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72A7581B"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18EC030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0.827</w:t>
            </w:r>
          </w:p>
        </w:tc>
        <w:tc>
          <w:tcPr>
            <w:tcW w:w="795" w:type="pct"/>
            <w:shd w:val="clear" w:color="auto" w:fill="auto"/>
            <w:noWrap/>
            <w:hideMark/>
          </w:tcPr>
          <w:p w14:paraId="313D5A72"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266C43FD" w14:textId="77777777" w:rsidTr="00E772F3">
        <w:trPr>
          <w:trHeight w:val="288"/>
        </w:trPr>
        <w:tc>
          <w:tcPr>
            <w:tcW w:w="502" w:type="pct"/>
            <w:shd w:val="clear" w:color="auto" w:fill="auto"/>
            <w:noWrap/>
            <w:hideMark/>
          </w:tcPr>
          <w:p w14:paraId="7D84950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JS8</w:t>
            </w:r>
          </w:p>
        </w:tc>
        <w:tc>
          <w:tcPr>
            <w:tcW w:w="887" w:type="pct"/>
            <w:shd w:val="clear" w:color="auto" w:fill="auto"/>
            <w:noWrap/>
            <w:hideMark/>
          </w:tcPr>
          <w:p w14:paraId="6255DA59"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12A67A00"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17A31A89"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673DA6A6"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432F26F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0.800</w:t>
            </w:r>
          </w:p>
        </w:tc>
        <w:tc>
          <w:tcPr>
            <w:tcW w:w="795" w:type="pct"/>
            <w:shd w:val="clear" w:color="auto" w:fill="auto"/>
            <w:noWrap/>
            <w:hideMark/>
          </w:tcPr>
          <w:p w14:paraId="02F5AFF7"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65658E40" w14:textId="77777777" w:rsidTr="00E772F3">
        <w:trPr>
          <w:trHeight w:val="288"/>
        </w:trPr>
        <w:tc>
          <w:tcPr>
            <w:tcW w:w="502" w:type="pct"/>
            <w:shd w:val="clear" w:color="auto" w:fill="auto"/>
            <w:noWrap/>
            <w:hideMark/>
          </w:tcPr>
          <w:p w14:paraId="22790FA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JS9</w:t>
            </w:r>
          </w:p>
        </w:tc>
        <w:tc>
          <w:tcPr>
            <w:tcW w:w="887" w:type="pct"/>
            <w:shd w:val="clear" w:color="auto" w:fill="auto"/>
            <w:noWrap/>
            <w:hideMark/>
          </w:tcPr>
          <w:p w14:paraId="195AB391"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47A78E1A"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02035FC7"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567E1116"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3D6250E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0.818</w:t>
            </w:r>
          </w:p>
        </w:tc>
        <w:tc>
          <w:tcPr>
            <w:tcW w:w="795" w:type="pct"/>
            <w:shd w:val="clear" w:color="auto" w:fill="auto"/>
            <w:noWrap/>
            <w:hideMark/>
          </w:tcPr>
          <w:p w14:paraId="7FC5E16A"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56E9EFD" w14:textId="77777777" w:rsidTr="00E772F3">
        <w:trPr>
          <w:trHeight w:val="288"/>
        </w:trPr>
        <w:tc>
          <w:tcPr>
            <w:tcW w:w="502" w:type="pct"/>
            <w:shd w:val="clear" w:color="auto" w:fill="auto"/>
            <w:noWrap/>
            <w:hideMark/>
          </w:tcPr>
          <w:p w14:paraId="040F18E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JSA1</w:t>
            </w:r>
          </w:p>
        </w:tc>
        <w:tc>
          <w:tcPr>
            <w:tcW w:w="887" w:type="pct"/>
            <w:shd w:val="clear" w:color="auto" w:fill="auto"/>
            <w:noWrap/>
            <w:hideMark/>
          </w:tcPr>
          <w:p w14:paraId="523BF03F"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607C8AE9"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24E9E74F"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3C5B934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0.862</w:t>
            </w:r>
          </w:p>
        </w:tc>
        <w:tc>
          <w:tcPr>
            <w:tcW w:w="541" w:type="pct"/>
            <w:shd w:val="clear" w:color="auto" w:fill="auto"/>
            <w:noWrap/>
            <w:hideMark/>
          </w:tcPr>
          <w:p w14:paraId="202E9D08"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374B0E41"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064A7B66" w14:textId="77777777" w:rsidTr="00E772F3">
        <w:trPr>
          <w:trHeight w:val="288"/>
        </w:trPr>
        <w:tc>
          <w:tcPr>
            <w:tcW w:w="502" w:type="pct"/>
            <w:shd w:val="clear" w:color="auto" w:fill="auto"/>
            <w:noWrap/>
            <w:hideMark/>
          </w:tcPr>
          <w:p w14:paraId="0FD645C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JSA2</w:t>
            </w:r>
          </w:p>
        </w:tc>
        <w:tc>
          <w:tcPr>
            <w:tcW w:w="887" w:type="pct"/>
            <w:shd w:val="clear" w:color="auto" w:fill="auto"/>
            <w:noWrap/>
            <w:hideMark/>
          </w:tcPr>
          <w:p w14:paraId="2A3F8C0E"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62ECC7BB"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30B73830"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7FF3487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0.827</w:t>
            </w:r>
          </w:p>
        </w:tc>
        <w:tc>
          <w:tcPr>
            <w:tcW w:w="541" w:type="pct"/>
            <w:shd w:val="clear" w:color="auto" w:fill="auto"/>
            <w:noWrap/>
            <w:hideMark/>
          </w:tcPr>
          <w:p w14:paraId="332F5AC4"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3AB9D5C3"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399D33EC" w14:textId="77777777" w:rsidTr="00E772F3">
        <w:trPr>
          <w:trHeight w:val="288"/>
        </w:trPr>
        <w:tc>
          <w:tcPr>
            <w:tcW w:w="502" w:type="pct"/>
            <w:shd w:val="clear" w:color="auto" w:fill="auto"/>
            <w:noWrap/>
            <w:hideMark/>
          </w:tcPr>
          <w:p w14:paraId="726CBE8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JSA3</w:t>
            </w:r>
          </w:p>
        </w:tc>
        <w:tc>
          <w:tcPr>
            <w:tcW w:w="887" w:type="pct"/>
            <w:shd w:val="clear" w:color="auto" w:fill="auto"/>
            <w:noWrap/>
            <w:hideMark/>
          </w:tcPr>
          <w:p w14:paraId="50D7713B"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741FB2E1"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7F1E68C1"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4CA5C07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0.799</w:t>
            </w:r>
          </w:p>
        </w:tc>
        <w:tc>
          <w:tcPr>
            <w:tcW w:w="541" w:type="pct"/>
            <w:shd w:val="clear" w:color="auto" w:fill="auto"/>
            <w:noWrap/>
            <w:hideMark/>
          </w:tcPr>
          <w:p w14:paraId="0DD5043A"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400FCFA1"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6462477" w14:textId="77777777" w:rsidTr="00E772F3">
        <w:trPr>
          <w:trHeight w:val="288"/>
        </w:trPr>
        <w:tc>
          <w:tcPr>
            <w:tcW w:w="502" w:type="pct"/>
            <w:shd w:val="clear" w:color="auto" w:fill="auto"/>
            <w:noWrap/>
            <w:hideMark/>
          </w:tcPr>
          <w:p w14:paraId="5EDDB5C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JSA4</w:t>
            </w:r>
          </w:p>
        </w:tc>
        <w:tc>
          <w:tcPr>
            <w:tcW w:w="887" w:type="pct"/>
            <w:shd w:val="clear" w:color="auto" w:fill="auto"/>
            <w:noWrap/>
            <w:hideMark/>
          </w:tcPr>
          <w:p w14:paraId="7A948E34"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30205016"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62AD24BF"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27679B8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0.864</w:t>
            </w:r>
          </w:p>
        </w:tc>
        <w:tc>
          <w:tcPr>
            <w:tcW w:w="541" w:type="pct"/>
            <w:shd w:val="clear" w:color="auto" w:fill="auto"/>
            <w:noWrap/>
            <w:hideMark/>
          </w:tcPr>
          <w:p w14:paraId="4CC6C30A"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00354289"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02A1D4AE" w14:textId="77777777" w:rsidTr="00E772F3">
        <w:trPr>
          <w:trHeight w:val="288"/>
        </w:trPr>
        <w:tc>
          <w:tcPr>
            <w:tcW w:w="502" w:type="pct"/>
            <w:shd w:val="clear" w:color="auto" w:fill="auto"/>
            <w:noWrap/>
            <w:hideMark/>
          </w:tcPr>
          <w:p w14:paraId="1BF1A08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JSA5</w:t>
            </w:r>
          </w:p>
        </w:tc>
        <w:tc>
          <w:tcPr>
            <w:tcW w:w="887" w:type="pct"/>
            <w:shd w:val="clear" w:color="auto" w:fill="auto"/>
            <w:noWrap/>
            <w:hideMark/>
          </w:tcPr>
          <w:p w14:paraId="1FA84533"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15737FA2"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0AF435FB"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55C7A6A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0.822</w:t>
            </w:r>
          </w:p>
        </w:tc>
        <w:tc>
          <w:tcPr>
            <w:tcW w:w="541" w:type="pct"/>
            <w:shd w:val="clear" w:color="auto" w:fill="auto"/>
            <w:noWrap/>
            <w:hideMark/>
          </w:tcPr>
          <w:p w14:paraId="6750ADDA"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1D2A80F4"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3E8308E4" w14:textId="77777777" w:rsidTr="00E772F3">
        <w:trPr>
          <w:trHeight w:val="288"/>
        </w:trPr>
        <w:tc>
          <w:tcPr>
            <w:tcW w:w="502" w:type="pct"/>
            <w:shd w:val="clear" w:color="auto" w:fill="auto"/>
            <w:noWrap/>
            <w:hideMark/>
          </w:tcPr>
          <w:p w14:paraId="1568C7F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JSA6</w:t>
            </w:r>
          </w:p>
        </w:tc>
        <w:tc>
          <w:tcPr>
            <w:tcW w:w="887" w:type="pct"/>
            <w:shd w:val="clear" w:color="auto" w:fill="auto"/>
            <w:noWrap/>
            <w:hideMark/>
          </w:tcPr>
          <w:p w14:paraId="6FCD1844"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2A28D401"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7B59E208"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42414B8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0.790</w:t>
            </w:r>
          </w:p>
        </w:tc>
        <w:tc>
          <w:tcPr>
            <w:tcW w:w="541" w:type="pct"/>
            <w:shd w:val="clear" w:color="auto" w:fill="auto"/>
            <w:noWrap/>
            <w:hideMark/>
          </w:tcPr>
          <w:p w14:paraId="5DFB9F8F"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19251428"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0169B0F1" w14:textId="77777777" w:rsidTr="00E772F3">
        <w:trPr>
          <w:trHeight w:val="288"/>
        </w:trPr>
        <w:tc>
          <w:tcPr>
            <w:tcW w:w="502" w:type="pct"/>
            <w:shd w:val="clear" w:color="auto" w:fill="auto"/>
            <w:noWrap/>
            <w:hideMark/>
          </w:tcPr>
          <w:p w14:paraId="43F8DBC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PW1</w:t>
            </w:r>
          </w:p>
        </w:tc>
        <w:tc>
          <w:tcPr>
            <w:tcW w:w="887" w:type="pct"/>
            <w:shd w:val="clear" w:color="auto" w:fill="auto"/>
            <w:noWrap/>
            <w:hideMark/>
          </w:tcPr>
          <w:p w14:paraId="3D156AE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0.801</w:t>
            </w:r>
          </w:p>
        </w:tc>
        <w:tc>
          <w:tcPr>
            <w:tcW w:w="704" w:type="pct"/>
            <w:shd w:val="clear" w:color="auto" w:fill="auto"/>
            <w:noWrap/>
            <w:hideMark/>
          </w:tcPr>
          <w:p w14:paraId="79B28CBC"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51CDF551"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6549095A"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3DF8B53C"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094D9C16"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6805ED2" w14:textId="77777777" w:rsidTr="00E772F3">
        <w:trPr>
          <w:trHeight w:val="288"/>
        </w:trPr>
        <w:tc>
          <w:tcPr>
            <w:tcW w:w="502" w:type="pct"/>
            <w:shd w:val="clear" w:color="auto" w:fill="auto"/>
            <w:noWrap/>
            <w:hideMark/>
          </w:tcPr>
          <w:p w14:paraId="4EB5C2D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PW2</w:t>
            </w:r>
          </w:p>
        </w:tc>
        <w:tc>
          <w:tcPr>
            <w:tcW w:w="887" w:type="pct"/>
            <w:shd w:val="clear" w:color="auto" w:fill="auto"/>
            <w:noWrap/>
            <w:hideMark/>
          </w:tcPr>
          <w:p w14:paraId="2DFFF81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0.800</w:t>
            </w:r>
          </w:p>
        </w:tc>
        <w:tc>
          <w:tcPr>
            <w:tcW w:w="704" w:type="pct"/>
            <w:shd w:val="clear" w:color="auto" w:fill="auto"/>
            <w:noWrap/>
            <w:hideMark/>
          </w:tcPr>
          <w:p w14:paraId="4FDE3F36"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1C2BC9D2"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56EA308A"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71550143"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651E4D17"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379577BA" w14:textId="77777777" w:rsidTr="00E772F3">
        <w:trPr>
          <w:trHeight w:val="288"/>
        </w:trPr>
        <w:tc>
          <w:tcPr>
            <w:tcW w:w="502" w:type="pct"/>
            <w:shd w:val="clear" w:color="auto" w:fill="auto"/>
            <w:noWrap/>
            <w:hideMark/>
          </w:tcPr>
          <w:p w14:paraId="15C2749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PW3</w:t>
            </w:r>
          </w:p>
        </w:tc>
        <w:tc>
          <w:tcPr>
            <w:tcW w:w="887" w:type="pct"/>
            <w:shd w:val="clear" w:color="auto" w:fill="auto"/>
            <w:noWrap/>
            <w:hideMark/>
          </w:tcPr>
          <w:p w14:paraId="600041B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0.822</w:t>
            </w:r>
          </w:p>
        </w:tc>
        <w:tc>
          <w:tcPr>
            <w:tcW w:w="704" w:type="pct"/>
            <w:shd w:val="clear" w:color="auto" w:fill="auto"/>
            <w:noWrap/>
            <w:hideMark/>
          </w:tcPr>
          <w:p w14:paraId="04E6CAED"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2503A2B7"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17861E4D"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0F451EF5"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69C14C35"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A4A649F" w14:textId="77777777" w:rsidTr="00E772F3">
        <w:trPr>
          <w:trHeight w:val="288"/>
        </w:trPr>
        <w:tc>
          <w:tcPr>
            <w:tcW w:w="502" w:type="pct"/>
            <w:shd w:val="clear" w:color="auto" w:fill="auto"/>
            <w:noWrap/>
            <w:hideMark/>
          </w:tcPr>
          <w:p w14:paraId="7C1EF8A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PW4</w:t>
            </w:r>
          </w:p>
        </w:tc>
        <w:tc>
          <w:tcPr>
            <w:tcW w:w="887" w:type="pct"/>
            <w:shd w:val="clear" w:color="auto" w:fill="auto"/>
            <w:noWrap/>
            <w:hideMark/>
          </w:tcPr>
          <w:p w14:paraId="4B370A7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0.828</w:t>
            </w:r>
          </w:p>
        </w:tc>
        <w:tc>
          <w:tcPr>
            <w:tcW w:w="704" w:type="pct"/>
            <w:shd w:val="clear" w:color="auto" w:fill="auto"/>
            <w:noWrap/>
            <w:hideMark/>
          </w:tcPr>
          <w:p w14:paraId="19988C29"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0C45C515"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6BA67557"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6BF08C14"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063AD6AD"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0CBC85A5" w14:textId="77777777" w:rsidTr="00E772F3">
        <w:trPr>
          <w:trHeight w:val="288"/>
        </w:trPr>
        <w:tc>
          <w:tcPr>
            <w:tcW w:w="502" w:type="pct"/>
            <w:shd w:val="clear" w:color="auto" w:fill="auto"/>
            <w:noWrap/>
            <w:hideMark/>
          </w:tcPr>
          <w:p w14:paraId="3302DCF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PW5</w:t>
            </w:r>
          </w:p>
        </w:tc>
        <w:tc>
          <w:tcPr>
            <w:tcW w:w="887" w:type="pct"/>
            <w:shd w:val="clear" w:color="auto" w:fill="auto"/>
            <w:noWrap/>
            <w:hideMark/>
          </w:tcPr>
          <w:p w14:paraId="0FE3A1D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0.856</w:t>
            </w:r>
          </w:p>
        </w:tc>
        <w:tc>
          <w:tcPr>
            <w:tcW w:w="704" w:type="pct"/>
            <w:shd w:val="clear" w:color="auto" w:fill="auto"/>
            <w:noWrap/>
            <w:hideMark/>
          </w:tcPr>
          <w:p w14:paraId="2AC53C41"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6BA56074"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42722FFC"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31A7BB54"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0ACA44C2"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41E95F57" w14:textId="77777777" w:rsidTr="00E772F3">
        <w:trPr>
          <w:trHeight w:val="288"/>
        </w:trPr>
        <w:tc>
          <w:tcPr>
            <w:tcW w:w="502" w:type="pct"/>
            <w:shd w:val="clear" w:color="auto" w:fill="auto"/>
            <w:noWrap/>
            <w:hideMark/>
          </w:tcPr>
          <w:p w14:paraId="375FC32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PW6</w:t>
            </w:r>
          </w:p>
        </w:tc>
        <w:tc>
          <w:tcPr>
            <w:tcW w:w="887" w:type="pct"/>
            <w:shd w:val="clear" w:color="auto" w:fill="auto"/>
            <w:noWrap/>
            <w:hideMark/>
          </w:tcPr>
          <w:p w14:paraId="6FCDF86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0.861</w:t>
            </w:r>
          </w:p>
        </w:tc>
        <w:tc>
          <w:tcPr>
            <w:tcW w:w="704" w:type="pct"/>
            <w:shd w:val="clear" w:color="auto" w:fill="auto"/>
            <w:noWrap/>
            <w:hideMark/>
          </w:tcPr>
          <w:p w14:paraId="4BBF1CFF"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7DC84876"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0790D14E"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59BA492B"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5A95DA6D"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540B3D1" w14:textId="77777777" w:rsidTr="00E772F3">
        <w:trPr>
          <w:trHeight w:val="288"/>
        </w:trPr>
        <w:tc>
          <w:tcPr>
            <w:tcW w:w="502" w:type="pct"/>
            <w:shd w:val="clear" w:color="auto" w:fill="auto"/>
            <w:noWrap/>
            <w:hideMark/>
          </w:tcPr>
          <w:p w14:paraId="30FB5AF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PW7</w:t>
            </w:r>
          </w:p>
        </w:tc>
        <w:tc>
          <w:tcPr>
            <w:tcW w:w="887" w:type="pct"/>
            <w:shd w:val="clear" w:color="auto" w:fill="auto"/>
            <w:noWrap/>
            <w:hideMark/>
          </w:tcPr>
          <w:p w14:paraId="35DE28E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0.823</w:t>
            </w:r>
          </w:p>
        </w:tc>
        <w:tc>
          <w:tcPr>
            <w:tcW w:w="704" w:type="pct"/>
            <w:shd w:val="clear" w:color="auto" w:fill="auto"/>
            <w:noWrap/>
            <w:hideMark/>
          </w:tcPr>
          <w:p w14:paraId="26D2DD1D"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02795CCF"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04EA1851"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23B387DD"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396FE8BF"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9028C18" w14:textId="77777777" w:rsidTr="00E772F3">
        <w:trPr>
          <w:trHeight w:val="288"/>
        </w:trPr>
        <w:tc>
          <w:tcPr>
            <w:tcW w:w="502" w:type="pct"/>
            <w:shd w:val="clear" w:color="auto" w:fill="auto"/>
            <w:noWrap/>
            <w:hideMark/>
          </w:tcPr>
          <w:p w14:paraId="6E3F16E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SW1</w:t>
            </w:r>
          </w:p>
        </w:tc>
        <w:tc>
          <w:tcPr>
            <w:tcW w:w="887" w:type="pct"/>
            <w:shd w:val="clear" w:color="auto" w:fill="auto"/>
            <w:noWrap/>
            <w:hideMark/>
          </w:tcPr>
          <w:p w14:paraId="055E0AFD"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03D83D71"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19B9CE00"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0820A773"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67C4AB42"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7EEB03E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0.757</w:t>
            </w:r>
          </w:p>
        </w:tc>
      </w:tr>
      <w:tr w:rsidR="00227727" w:rsidRPr="00227727" w14:paraId="5AD22EE4" w14:textId="77777777" w:rsidTr="00E772F3">
        <w:trPr>
          <w:trHeight w:val="288"/>
        </w:trPr>
        <w:tc>
          <w:tcPr>
            <w:tcW w:w="502" w:type="pct"/>
            <w:shd w:val="clear" w:color="auto" w:fill="auto"/>
            <w:noWrap/>
            <w:hideMark/>
          </w:tcPr>
          <w:p w14:paraId="11C524E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SW2</w:t>
            </w:r>
          </w:p>
        </w:tc>
        <w:tc>
          <w:tcPr>
            <w:tcW w:w="887" w:type="pct"/>
            <w:shd w:val="clear" w:color="auto" w:fill="auto"/>
            <w:noWrap/>
            <w:hideMark/>
          </w:tcPr>
          <w:p w14:paraId="53255D87"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5B81D2F1"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1E864BA8"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21113949"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2CCF6369"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2B258E5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0.746</w:t>
            </w:r>
          </w:p>
        </w:tc>
      </w:tr>
      <w:tr w:rsidR="00227727" w:rsidRPr="00227727" w14:paraId="78722C47" w14:textId="77777777" w:rsidTr="00E772F3">
        <w:trPr>
          <w:trHeight w:val="288"/>
        </w:trPr>
        <w:tc>
          <w:tcPr>
            <w:tcW w:w="502" w:type="pct"/>
            <w:shd w:val="clear" w:color="auto" w:fill="auto"/>
            <w:noWrap/>
            <w:hideMark/>
          </w:tcPr>
          <w:p w14:paraId="4C5DBCC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SW3</w:t>
            </w:r>
          </w:p>
        </w:tc>
        <w:tc>
          <w:tcPr>
            <w:tcW w:w="887" w:type="pct"/>
            <w:shd w:val="clear" w:color="auto" w:fill="auto"/>
            <w:noWrap/>
            <w:hideMark/>
          </w:tcPr>
          <w:p w14:paraId="431F802C"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2A84F113"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49213E9E"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1B6C0FA3"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1BA0AAB2"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7DC1374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0.741</w:t>
            </w:r>
          </w:p>
        </w:tc>
      </w:tr>
      <w:tr w:rsidR="00227727" w:rsidRPr="00227727" w14:paraId="53715E79" w14:textId="77777777" w:rsidTr="00E772F3">
        <w:trPr>
          <w:trHeight w:val="288"/>
        </w:trPr>
        <w:tc>
          <w:tcPr>
            <w:tcW w:w="502" w:type="pct"/>
            <w:shd w:val="clear" w:color="auto" w:fill="auto"/>
            <w:noWrap/>
            <w:hideMark/>
          </w:tcPr>
          <w:p w14:paraId="4F19944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SW4</w:t>
            </w:r>
          </w:p>
        </w:tc>
        <w:tc>
          <w:tcPr>
            <w:tcW w:w="887" w:type="pct"/>
            <w:shd w:val="clear" w:color="auto" w:fill="auto"/>
            <w:noWrap/>
            <w:hideMark/>
          </w:tcPr>
          <w:p w14:paraId="235B5F8F"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036DC805"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259F1DD7"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64489985"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50366A0B"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528F02F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0.748</w:t>
            </w:r>
          </w:p>
        </w:tc>
      </w:tr>
      <w:tr w:rsidR="00227727" w:rsidRPr="00227727" w14:paraId="1B9C454D" w14:textId="77777777" w:rsidTr="00E772F3">
        <w:trPr>
          <w:trHeight w:val="288"/>
        </w:trPr>
        <w:tc>
          <w:tcPr>
            <w:tcW w:w="502" w:type="pct"/>
            <w:shd w:val="clear" w:color="auto" w:fill="auto"/>
            <w:noWrap/>
            <w:hideMark/>
          </w:tcPr>
          <w:p w14:paraId="3F42304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SW5</w:t>
            </w:r>
          </w:p>
        </w:tc>
        <w:tc>
          <w:tcPr>
            <w:tcW w:w="887" w:type="pct"/>
            <w:shd w:val="clear" w:color="auto" w:fill="auto"/>
            <w:noWrap/>
            <w:hideMark/>
          </w:tcPr>
          <w:p w14:paraId="694227D2"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29FE86F2"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248BBBB8"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1FAD5877"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58277FCE"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7E5EF2F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0.734</w:t>
            </w:r>
          </w:p>
        </w:tc>
      </w:tr>
      <w:tr w:rsidR="00227727" w:rsidRPr="00227727" w14:paraId="472264ED" w14:textId="77777777" w:rsidTr="00E772F3">
        <w:trPr>
          <w:trHeight w:val="288"/>
        </w:trPr>
        <w:tc>
          <w:tcPr>
            <w:tcW w:w="502" w:type="pct"/>
            <w:shd w:val="clear" w:color="auto" w:fill="auto"/>
            <w:noWrap/>
            <w:hideMark/>
          </w:tcPr>
          <w:p w14:paraId="551B64C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SW6</w:t>
            </w:r>
          </w:p>
        </w:tc>
        <w:tc>
          <w:tcPr>
            <w:tcW w:w="887" w:type="pct"/>
            <w:shd w:val="clear" w:color="auto" w:fill="auto"/>
            <w:noWrap/>
            <w:hideMark/>
          </w:tcPr>
          <w:p w14:paraId="16F5FCEA" w14:textId="77777777" w:rsidR="00227727" w:rsidRPr="00227727" w:rsidRDefault="00227727" w:rsidP="00E772F3">
            <w:pPr>
              <w:spacing w:line="360" w:lineRule="auto"/>
              <w:jc w:val="center"/>
              <w:rPr>
                <w:rFonts w:ascii="Arial" w:eastAsia="Times New Roman" w:hAnsi="Arial" w:cs="Arial"/>
                <w:sz w:val="22"/>
              </w:rPr>
            </w:pPr>
          </w:p>
        </w:tc>
        <w:tc>
          <w:tcPr>
            <w:tcW w:w="704" w:type="pct"/>
            <w:shd w:val="clear" w:color="auto" w:fill="auto"/>
            <w:noWrap/>
            <w:hideMark/>
          </w:tcPr>
          <w:p w14:paraId="75F44F95" w14:textId="77777777" w:rsidR="00227727" w:rsidRPr="00227727" w:rsidRDefault="00227727" w:rsidP="00E772F3">
            <w:pPr>
              <w:spacing w:line="360" w:lineRule="auto"/>
              <w:jc w:val="center"/>
              <w:rPr>
                <w:rFonts w:ascii="Arial" w:eastAsia="Times New Roman" w:hAnsi="Arial" w:cs="Arial"/>
                <w:sz w:val="22"/>
              </w:rPr>
            </w:pPr>
          </w:p>
        </w:tc>
        <w:tc>
          <w:tcPr>
            <w:tcW w:w="805" w:type="pct"/>
            <w:shd w:val="clear" w:color="auto" w:fill="auto"/>
            <w:noWrap/>
            <w:hideMark/>
          </w:tcPr>
          <w:p w14:paraId="389DF845" w14:textId="77777777" w:rsidR="00227727" w:rsidRPr="00227727" w:rsidRDefault="00227727" w:rsidP="00E772F3">
            <w:pPr>
              <w:spacing w:line="360" w:lineRule="auto"/>
              <w:jc w:val="center"/>
              <w:rPr>
                <w:rFonts w:ascii="Arial" w:eastAsia="Times New Roman" w:hAnsi="Arial" w:cs="Arial"/>
                <w:sz w:val="22"/>
              </w:rPr>
            </w:pPr>
          </w:p>
        </w:tc>
        <w:tc>
          <w:tcPr>
            <w:tcW w:w="766" w:type="pct"/>
            <w:shd w:val="clear" w:color="auto" w:fill="auto"/>
            <w:noWrap/>
            <w:hideMark/>
          </w:tcPr>
          <w:p w14:paraId="1F4A538C" w14:textId="77777777" w:rsidR="00227727" w:rsidRPr="00227727" w:rsidRDefault="00227727" w:rsidP="00E772F3">
            <w:pPr>
              <w:spacing w:line="360" w:lineRule="auto"/>
              <w:jc w:val="center"/>
              <w:rPr>
                <w:rFonts w:ascii="Arial" w:eastAsia="Times New Roman" w:hAnsi="Arial" w:cs="Arial"/>
                <w:sz w:val="22"/>
              </w:rPr>
            </w:pPr>
          </w:p>
        </w:tc>
        <w:tc>
          <w:tcPr>
            <w:tcW w:w="541" w:type="pct"/>
            <w:shd w:val="clear" w:color="auto" w:fill="auto"/>
            <w:noWrap/>
            <w:hideMark/>
          </w:tcPr>
          <w:p w14:paraId="0173EB98" w14:textId="77777777" w:rsidR="00227727" w:rsidRPr="00227727" w:rsidRDefault="00227727" w:rsidP="00E772F3">
            <w:pPr>
              <w:spacing w:line="360" w:lineRule="auto"/>
              <w:jc w:val="center"/>
              <w:rPr>
                <w:rFonts w:ascii="Arial" w:eastAsia="Times New Roman" w:hAnsi="Arial" w:cs="Arial"/>
                <w:sz w:val="22"/>
              </w:rPr>
            </w:pPr>
          </w:p>
        </w:tc>
        <w:tc>
          <w:tcPr>
            <w:tcW w:w="795" w:type="pct"/>
            <w:shd w:val="clear" w:color="auto" w:fill="auto"/>
            <w:noWrap/>
            <w:hideMark/>
          </w:tcPr>
          <w:p w14:paraId="5721CF8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0.754</w:t>
            </w:r>
          </w:p>
        </w:tc>
      </w:tr>
    </w:tbl>
    <w:p w14:paraId="0D86ADF8" w14:textId="77777777" w:rsidR="00227727" w:rsidRPr="00227727" w:rsidRDefault="00227727" w:rsidP="00227727">
      <w:pPr>
        <w:spacing w:line="360" w:lineRule="auto"/>
        <w:rPr>
          <w:rFonts w:ascii="Arial" w:hAnsi="Arial" w:cs="Arial"/>
          <w:sz w:val="24"/>
          <w:szCs w:val="24"/>
          <w:lang w:bidi="ta-IN"/>
        </w:rPr>
      </w:pPr>
    </w:p>
    <w:p w14:paraId="02CCBCB8"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 xml:space="preserve">The Average Variance Extracted (AVE) is an important measure of convergent validity because it indicates the proportion of variance captured by a construct versus the variance due to measurement error. Fornell and Larcker (1981) define an acceptable AVE value as 0.50 or higher, indicating that the construct explains more than half of the variance in its indicators. Table 4.6 demonstrates that all constructs meet this criterion, with AVE values ranging from 0.558 (Smarter Working) to 0.685 (Employee Wellbeing and Job Satisfaction). The higher AVE values for Employees' Wellbeing (0.685) </w:t>
      </w:r>
      <w:r w:rsidRPr="00227727">
        <w:rPr>
          <w:rFonts w:ascii="Arial" w:hAnsi="Arial" w:cs="Arial"/>
          <w:sz w:val="24"/>
          <w:szCs w:val="24"/>
          <w:lang w:bidi="ta-IN"/>
        </w:rPr>
        <w:lastRenderedPageBreak/>
        <w:t>and Job Satisfaction (0.685) indicate that these constructs have strong explanatory power, confirming that the items used to measure these concepts highly represent their latent variables.</w:t>
      </w:r>
    </w:p>
    <w:p w14:paraId="0370861C"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The AVE values for HRM Practices (0.614), Job Performance (0.637), and Job Stress (0.642) show moderate to strong convergent validity, with each construct accounting for more than 60% of the variance in its indicators. Smarter Working (0.558) has the lowest AVE value of the constructs, but it still exceeds the 0.50 threshold, indicating acceptable convergent validity (Hair et al., 2019). Lower AVE values may indicate some level of measurement error or item heterogeneity, but the fact that all AVE values exceed the minimum threshold confirms that each construct is well-defined and adequately measured by its respective items. This improves the measurement reliability and ensures that the constructs used in the model accurately reflect their theoretical definitions, allowing for additional validity testing.</w:t>
      </w:r>
    </w:p>
    <w:p w14:paraId="0ED59A8C"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4.6.</w:t>
      </w:r>
      <w:r w:rsidRPr="00227727">
        <w:rPr>
          <w:rFonts w:ascii="Arial" w:hAnsi="Arial" w:cs="Arial"/>
          <w:sz w:val="24"/>
          <w:szCs w:val="24"/>
          <w:lang w:bidi="ta-IN"/>
        </w:rPr>
        <w:t xml:space="preserve"> Average Variance Extracted (AVE)</w:t>
      </w:r>
    </w:p>
    <w:tbl>
      <w:tblPr>
        <w:tblStyle w:val="ListTable6Colourful"/>
        <w:tblW w:w="5000" w:type="pct"/>
        <w:tblLook w:val="0620" w:firstRow="1" w:lastRow="0" w:firstColumn="0" w:lastColumn="0" w:noHBand="1" w:noVBand="1"/>
      </w:tblPr>
      <w:tblGrid>
        <w:gridCol w:w="7028"/>
        <w:gridCol w:w="3738"/>
      </w:tblGrid>
      <w:tr w:rsidR="00227727" w:rsidRPr="00227727" w14:paraId="5C7E6452"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4020" w:type="pct"/>
            <w:shd w:val="clear" w:color="auto" w:fill="auto"/>
            <w:noWrap/>
            <w:hideMark/>
          </w:tcPr>
          <w:p w14:paraId="3396A414" w14:textId="77777777" w:rsidR="00227727" w:rsidRPr="00227727" w:rsidRDefault="00227727" w:rsidP="00E772F3">
            <w:pPr>
              <w:spacing w:line="360" w:lineRule="auto"/>
              <w:rPr>
                <w:rFonts w:ascii="Arial" w:eastAsia="Times New Roman" w:hAnsi="Arial" w:cs="Arial"/>
                <w:sz w:val="20"/>
                <w:szCs w:val="20"/>
              </w:rPr>
            </w:pPr>
          </w:p>
        </w:tc>
        <w:tc>
          <w:tcPr>
            <w:tcW w:w="980" w:type="pct"/>
            <w:shd w:val="clear" w:color="auto" w:fill="auto"/>
            <w:noWrap/>
            <w:hideMark/>
          </w:tcPr>
          <w:p w14:paraId="3521607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Average variance extracted (AVE)</w:t>
            </w:r>
          </w:p>
        </w:tc>
      </w:tr>
      <w:tr w:rsidR="00227727" w:rsidRPr="00227727" w14:paraId="2EB2CB49" w14:textId="77777777" w:rsidTr="00E772F3">
        <w:trPr>
          <w:trHeight w:val="288"/>
        </w:trPr>
        <w:tc>
          <w:tcPr>
            <w:tcW w:w="4020" w:type="pct"/>
            <w:shd w:val="clear" w:color="auto" w:fill="auto"/>
            <w:noWrap/>
            <w:hideMark/>
          </w:tcPr>
          <w:p w14:paraId="77DB90F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Employees Wellbeing</w:t>
            </w:r>
          </w:p>
        </w:tc>
        <w:tc>
          <w:tcPr>
            <w:tcW w:w="980" w:type="pct"/>
            <w:shd w:val="clear" w:color="auto" w:fill="auto"/>
            <w:noWrap/>
            <w:hideMark/>
          </w:tcPr>
          <w:p w14:paraId="3D56316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0.685</w:t>
            </w:r>
          </w:p>
        </w:tc>
      </w:tr>
      <w:tr w:rsidR="00227727" w:rsidRPr="00227727" w14:paraId="71A624C5" w14:textId="77777777" w:rsidTr="00E772F3">
        <w:trPr>
          <w:trHeight w:val="288"/>
        </w:trPr>
        <w:tc>
          <w:tcPr>
            <w:tcW w:w="4020" w:type="pct"/>
            <w:shd w:val="clear" w:color="auto" w:fill="auto"/>
            <w:noWrap/>
            <w:hideMark/>
          </w:tcPr>
          <w:p w14:paraId="1C2D7B3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 Practices</w:t>
            </w:r>
          </w:p>
        </w:tc>
        <w:tc>
          <w:tcPr>
            <w:tcW w:w="980" w:type="pct"/>
            <w:shd w:val="clear" w:color="auto" w:fill="auto"/>
            <w:noWrap/>
            <w:hideMark/>
          </w:tcPr>
          <w:p w14:paraId="17DC188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0.614</w:t>
            </w:r>
          </w:p>
        </w:tc>
      </w:tr>
      <w:tr w:rsidR="00227727" w:rsidRPr="00227727" w14:paraId="296F29BB" w14:textId="77777777" w:rsidTr="00E772F3">
        <w:trPr>
          <w:trHeight w:val="288"/>
        </w:trPr>
        <w:tc>
          <w:tcPr>
            <w:tcW w:w="4020" w:type="pct"/>
            <w:shd w:val="clear" w:color="auto" w:fill="auto"/>
            <w:noWrap/>
            <w:hideMark/>
          </w:tcPr>
          <w:p w14:paraId="0DDD941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Performance</w:t>
            </w:r>
          </w:p>
        </w:tc>
        <w:tc>
          <w:tcPr>
            <w:tcW w:w="980" w:type="pct"/>
            <w:shd w:val="clear" w:color="auto" w:fill="auto"/>
            <w:noWrap/>
            <w:hideMark/>
          </w:tcPr>
          <w:p w14:paraId="0886762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0.637</w:t>
            </w:r>
          </w:p>
        </w:tc>
      </w:tr>
      <w:tr w:rsidR="00227727" w:rsidRPr="00227727" w14:paraId="019AF6DE" w14:textId="77777777" w:rsidTr="00E772F3">
        <w:trPr>
          <w:trHeight w:val="288"/>
        </w:trPr>
        <w:tc>
          <w:tcPr>
            <w:tcW w:w="4020" w:type="pct"/>
            <w:shd w:val="clear" w:color="auto" w:fill="auto"/>
            <w:noWrap/>
            <w:hideMark/>
          </w:tcPr>
          <w:p w14:paraId="28A0BEE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Satisfaction</w:t>
            </w:r>
          </w:p>
        </w:tc>
        <w:tc>
          <w:tcPr>
            <w:tcW w:w="980" w:type="pct"/>
            <w:shd w:val="clear" w:color="auto" w:fill="auto"/>
            <w:noWrap/>
            <w:hideMark/>
          </w:tcPr>
          <w:p w14:paraId="39C97BB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0.685</w:t>
            </w:r>
          </w:p>
        </w:tc>
      </w:tr>
      <w:tr w:rsidR="00227727" w:rsidRPr="00227727" w14:paraId="001F311D" w14:textId="77777777" w:rsidTr="00E772F3">
        <w:trPr>
          <w:trHeight w:val="288"/>
        </w:trPr>
        <w:tc>
          <w:tcPr>
            <w:tcW w:w="4020" w:type="pct"/>
            <w:shd w:val="clear" w:color="auto" w:fill="auto"/>
            <w:noWrap/>
            <w:hideMark/>
          </w:tcPr>
          <w:p w14:paraId="30FD53A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Stress</w:t>
            </w:r>
          </w:p>
        </w:tc>
        <w:tc>
          <w:tcPr>
            <w:tcW w:w="980" w:type="pct"/>
            <w:shd w:val="clear" w:color="auto" w:fill="auto"/>
            <w:noWrap/>
            <w:hideMark/>
          </w:tcPr>
          <w:p w14:paraId="017EFF9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0.642</w:t>
            </w:r>
          </w:p>
        </w:tc>
      </w:tr>
      <w:tr w:rsidR="00227727" w:rsidRPr="00227727" w14:paraId="53B0CFD5" w14:textId="77777777" w:rsidTr="00E772F3">
        <w:trPr>
          <w:trHeight w:val="288"/>
        </w:trPr>
        <w:tc>
          <w:tcPr>
            <w:tcW w:w="4020" w:type="pct"/>
            <w:shd w:val="clear" w:color="auto" w:fill="auto"/>
            <w:noWrap/>
            <w:hideMark/>
          </w:tcPr>
          <w:p w14:paraId="47ABCFA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w:t>
            </w:r>
          </w:p>
        </w:tc>
        <w:tc>
          <w:tcPr>
            <w:tcW w:w="980" w:type="pct"/>
            <w:shd w:val="clear" w:color="auto" w:fill="auto"/>
            <w:noWrap/>
            <w:hideMark/>
          </w:tcPr>
          <w:p w14:paraId="254B455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0.558</w:t>
            </w:r>
          </w:p>
        </w:tc>
      </w:tr>
    </w:tbl>
    <w:p w14:paraId="4122106C" w14:textId="77777777" w:rsidR="00227727" w:rsidRPr="00227727" w:rsidRDefault="00227727" w:rsidP="00227727">
      <w:pPr>
        <w:spacing w:line="360" w:lineRule="auto"/>
        <w:rPr>
          <w:rFonts w:ascii="Arial" w:hAnsi="Arial" w:cs="Arial"/>
          <w:i/>
          <w:sz w:val="24"/>
          <w:szCs w:val="24"/>
          <w:lang w:bidi="ta-IN"/>
        </w:rPr>
      </w:pPr>
    </w:p>
    <w:p w14:paraId="52DCC43E" w14:textId="77777777" w:rsidR="00227727" w:rsidRPr="00227727" w:rsidRDefault="00227727" w:rsidP="00227727">
      <w:pPr>
        <w:pStyle w:val="Heading4"/>
        <w:spacing w:line="360" w:lineRule="auto"/>
        <w:rPr>
          <w:rFonts w:ascii="Arial" w:hAnsi="Arial" w:cs="Arial"/>
        </w:rPr>
      </w:pPr>
      <w:r w:rsidRPr="00227727">
        <w:rPr>
          <w:rFonts w:ascii="Arial" w:hAnsi="Arial" w:cs="Arial"/>
        </w:rPr>
        <w:t>Discriminant Validity</w:t>
      </w:r>
    </w:p>
    <w:p w14:paraId="7A616386"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Cross-loadings are used as the first parameter to assess discriminant validity, ensuring that each measurement item loads more strongly on its assigned construct than on any other construct in the model. To confirm discriminant validity, Hair et al. (2019) suggest that an indicator should have a higher loading on its latent construct than on any other construct in the dataset. To confirm clear construct discrimination, the recommended threshold suggests a difference of at least 0.10 between the indicator's highest loading and cross-loadings (Chin, 1998). Table 4.7 shows that all items load the most strongly on their respective constructs, confirming that the indicators capture the intended variables uniquely.</w:t>
      </w:r>
    </w:p>
    <w:p w14:paraId="05340631"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HRMP1-HRMP4 have higher loadings on HRM Practices (0.765-0.811) than their cross-loadings on other constructs, confirming the uniqueness of HRM Practices. Similarly, Job Performance indicators (JP1-JP4) have the highest load on their construct (0.781-0.811), with lower cross-loading on other constructs. Job Stress indicators (JS3-JS9) follow a similar pattern, with loadings ranging from 0.752 to 0.829, indicating that their respective items well capture job stress. This pattern is also observed in Job Satisfaction (JSA1-JSA6, 0.790-0.864), Employees' Wellbeing (PW1-PW7, 0.800-0.861), and Smarter Working (SW1-SW6, 0.734-0.757), confirming the uniqueness.</w:t>
      </w:r>
    </w:p>
    <w:p w14:paraId="37DE38AE"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lastRenderedPageBreak/>
        <w:t>The findings show no significant cross-loading issues exist, implying that all constructs have strong discriminant validity according to the cross-loading criterion (Hair et al., 2017). Some cases, such as HRMP4, JP4, and JS9, have moderately high cross-loadings (above 0.60), but the differences between the item's primary and secondary loadings remain above the 0.10 threshold, ensuring clear construct separation (Fornell &amp; Larcker, 1981). Because all items load highest on their designated constructs and significantly lower on other constructs, the cross-loading criterion is met, indicating the model has good discriminant validity.</w:t>
      </w:r>
    </w:p>
    <w:p w14:paraId="63312B7F"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4.7.</w:t>
      </w:r>
      <w:r w:rsidRPr="00227727">
        <w:rPr>
          <w:rFonts w:ascii="Arial" w:hAnsi="Arial" w:cs="Arial"/>
          <w:sz w:val="24"/>
          <w:szCs w:val="24"/>
          <w:lang w:bidi="ta-IN"/>
        </w:rPr>
        <w:t xml:space="preserve"> Cross Loadings</w:t>
      </w:r>
    </w:p>
    <w:tbl>
      <w:tblPr>
        <w:tblStyle w:val="ListTable6Colourful"/>
        <w:tblW w:w="5000" w:type="pct"/>
        <w:tblLayout w:type="fixed"/>
        <w:tblLook w:val="0620" w:firstRow="1" w:lastRow="0" w:firstColumn="0" w:lastColumn="0" w:noHBand="1" w:noVBand="1"/>
      </w:tblPr>
      <w:tblGrid>
        <w:gridCol w:w="2520"/>
        <w:gridCol w:w="1443"/>
        <w:gridCol w:w="1440"/>
        <w:gridCol w:w="1621"/>
        <w:gridCol w:w="1531"/>
        <w:gridCol w:w="900"/>
        <w:gridCol w:w="1311"/>
      </w:tblGrid>
      <w:tr w:rsidR="00227727" w:rsidRPr="00227727" w14:paraId="09B1E7EA"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1170" w:type="pct"/>
            <w:shd w:val="clear" w:color="auto" w:fill="auto"/>
            <w:noWrap/>
            <w:hideMark/>
          </w:tcPr>
          <w:p w14:paraId="705EA17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Constructs</w:t>
            </w:r>
          </w:p>
        </w:tc>
        <w:tc>
          <w:tcPr>
            <w:tcW w:w="670" w:type="pct"/>
            <w:shd w:val="clear" w:color="auto" w:fill="auto"/>
            <w:noWrap/>
            <w:hideMark/>
          </w:tcPr>
          <w:p w14:paraId="7966505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Employees Wellbeing</w:t>
            </w:r>
          </w:p>
        </w:tc>
        <w:tc>
          <w:tcPr>
            <w:tcW w:w="669" w:type="pct"/>
            <w:shd w:val="clear" w:color="auto" w:fill="auto"/>
            <w:noWrap/>
            <w:hideMark/>
          </w:tcPr>
          <w:p w14:paraId="6525E7B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HRM Practices</w:t>
            </w:r>
          </w:p>
        </w:tc>
        <w:tc>
          <w:tcPr>
            <w:tcW w:w="753" w:type="pct"/>
            <w:shd w:val="clear" w:color="auto" w:fill="auto"/>
            <w:noWrap/>
            <w:hideMark/>
          </w:tcPr>
          <w:p w14:paraId="7A37088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Performance</w:t>
            </w:r>
          </w:p>
        </w:tc>
        <w:tc>
          <w:tcPr>
            <w:tcW w:w="711" w:type="pct"/>
            <w:shd w:val="clear" w:color="auto" w:fill="auto"/>
            <w:noWrap/>
            <w:hideMark/>
          </w:tcPr>
          <w:p w14:paraId="2C502ED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Satisfaction</w:t>
            </w:r>
          </w:p>
        </w:tc>
        <w:tc>
          <w:tcPr>
            <w:tcW w:w="418" w:type="pct"/>
            <w:shd w:val="clear" w:color="auto" w:fill="auto"/>
            <w:noWrap/>
            <w:hideMark/>
          </w:tcPr>
          <w:p w14:paraId="1B20CBB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Stress</w:t>
            </w:r>
          </w:p>
        </w:tc>
        <w:tc>
          <w:tcPr>
            <w:tcW w:w="609" w:type="pct"/>
            <w:shd w:val="clear" w:color="auto" w:fill="auto"/>
            <w:noWrap/>
            <w:hideMark/>
          </w:tcPr>
          <w:p w14:paraId="5434D3E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Smarter Working</w:t>
            </w:r>
          </w:p>
        </w:tc>
      </w:tr>
      <w:tr w:rsidR="00227727" w:rsidRPr="00227727" w14:paraId="56D4B86C" w14:textId="77777777" w:rsidTr="00E772F3">
        <w:trPr>
          <w:trHeight w:val="288"/>
        </w:trPr>
        <w:tc>
          <w:tcPr>
            <w:tcW w:w="1170" w:type="pct"/>
            <w:shd w:val="clear" w:color="auto" w:fill="auto"/>
            <w:noWrap/>
            <w:hideMark/>
          </w:tcPr>
          <w:p w14:paraId="091AA8D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HRMP1</w:t>
            </w:r>
          </w:p>
        </w:tc>
        <w:tc>
          <w:tcPr>
            <w:tcW w:w="670" w:type="pct"/>
            <w:shd w:val="clear" w:color="auto" w:fill="auto"/>
            <w:noWrap/>
            <w:hideMark/>
          </w:tcPr>
          <w:p w14:paraId="5ECB253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0.548</w:t>
            </w:r>
          </w:p>
        </w:tc>
        <w:tc>
          <w:tcPr>
            <w:tcW w:w="669" w:type="pct"/>
            <w:shd w:val="clear" w:color="auto" w:fill="auto"/>
            <w:noWrap/>
            <w:hideMark/>
          </w:tcPr>
          <w:p w14:paraId="326010F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0.765</w:t>
            </w:r>
          </w:p>
        </w:tc>
        <w:tc>
          <w:tcPr>
            <w:tcW w:w="753" w:type="pct"/>
            <w:shd w:val="clear" w:color="auto" w:fill="auto"/>
            <w:noWrap/>
            <w:hideMark/>
          </w:tcPr>
          <w:p w14:paraId="2A77A6F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0.508</w:t>
            </w:r>
          </w:p>
        </w:tc>
        <w:tc>
          <w:tcPr>
            <w:tcW w:w="711" w:type="pct"/>
            <w:shd w:val="clear" w:color="auto" w:fill="auto"/>
            <w:noWrap/>
            <w:hideMark/>
          </w:tcPr>
          <w:p w14:paraId="4B4D971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0.535</w:t>
            </w:r>
          </w:p>
        </w:tc>
        <w:tc>
          <w:tcPr>
            <w:tcW w:w="418" w:type="pct"/>
            <w:shd w:val="clear" w:color="auto" w:fill="auto"/>
            <w:noWrap/>
            <w:hideMark/>
          </w:tcPr>
          <w:p w14:paraId="7AAA382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0.539</w:t>
            </w:r>
          </w:p>
        </w:tc>
        <w:tc>
          <w:tcPr>
            <w:tcW w:w="609" w:type="pct"/>
            <w:shd w:val="clear" w:color="auto" w:fill="auto"/>
            <w:noWrap/>
            <w:hideMark/>
          </w:tcPr>
          <w:p w14:paraId="6F381D9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0.563</w:t>
            </w:r>
          </w:p>
        </w:tc>
      </w:tr>
      <w:tr w:rsidR="00227727" w:rsidRPr="00227727" w14:paraId="19B614A8" w14:textId="77777777" w:rsidTr="00E772F3">
        <w:trPr>
          <w:trHeight w:val="288"/>
        </w:trPr>
        <w:tc>
          <w:tcPr>
            <w:tcW w:w="1170" w:type="pct"/>
            <w:shd w:val="clear" w:color="auto" w:fill="auto"/>
            <w:noWrap/>
            <w:hideMark/>
          </w:tcPr>
          <w:p w14:paraId="39B3DD7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HRMP2</w:t>
            </w:r>
          </w:p>
        </w:tc>
        <w:tc>
          <w:tcPr>
            <w:tcW w:w="670" w:type="pct"/>
            <w:shd w:val="clear" w:color="auto" w:fill="auto"/>
            <w:noWrap/>
            <w:hideMark/>
          </w:tcPr>
          <w:p w14:paraId="44446DC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0.583</w:t>
            </w:r>
          </w:p>
        </w:tc>
        <w:tc>
          <w:tcPr>
            <w:tcW w:w="669" w:type="pct"/>
            <w:shd w:val="clear" w:color="auto" w:fill="auto"/>
            <w:noWrap/>
            <w:hideMark/>
          </w:tcPr>
          <w:p w14:paraId="1034710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0.785</w:t>
            </w:r>
          </w:p>
        </w:tc>
        <w:tc>
          <w:tcPr>
            <w:tcW w:w="753" w:type="pct"/>
            <w:shd w:val="clear" w:color="auto" w:fill="auto"/>
            <w:noWrap/>
            <w:hideMark/>
          </w:tcPr>
          <w:p w14:paraId="46E16F3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0.541</w:t>
            </w:r>
          </w:p>
        </w:tc>
        <w:tc>
          <w:tcPr>
            <w:tcW w:w="711" w:type="pct"/>
            <w:shd w:val="clear" w:color="auto" w:fill="auto"/>
            <w:noWrap/>
            <w:hideMark/>
          </w:tcPr>
          <w:p w14:paraId="5175527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0.544</w:t>
            </w:r>
          </w:p>
        </w:tc>
        <w:tc>
          <w:tcPr>
            <w:tcW w:w="418" w:type="pct"/>
            <w:shd w:val="clear" w:color="auto" w:fill="auto"/>
            <w:noWrap/>
            <w:hideMark/>
          </w:tcPr>
          <w:p w14:paraId="1CEABC1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0.552</w:t>
            </w:r>
          </w:p>
        </w:tc>
        <w:tc>
          <w:tcPr>
            <w:tcW w:w="609" w:type="pct"/>
            <w:shd w:val="clear" w:color="auto" w:fill="auto"/>
            <w:noWrap/>
            <w:hideMark/>
          </w:tcPr>
          <w:p w14:paraId="743E6BA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0.572</w:t>
            </w:r>
          </w:p>
        </w:tc>
      </w:tr>
      <w:tr w:rsidR="00227727" w:rsidRPr="00227727" w14:paraId="38B1E2B2" w14:textId="77777777" w:rsidTr="00E772F3">
        <w:trPr>
          <w:trHeight w:val="288"/>
        </w:trPr>
        <w:tc>
          <w:tcPr>
            <w:tcW w:w="1170" w:type="pct"/>
            <w:shd w:val="clear" w:color="auto" w:fill="auto"/>
            <w:noWrap/>
            <w:hideMark/>
          </w:tcPr>
          <w:p w14:paraId="7943431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HRMP3</w:t>
            </w:r>
          </w:p>
        </w:tc>
        <w:tc>
          <w:tcPr>
            <w:tcW w:w="670" w:type="pct"/>
            <w:shd w:val="clear" w:color="auto" w:fill="auto"/>
            <w:noWrap/>
            <w:hideMark/>
          </w:tcPr>
          <w:p w14:paraId="24712C2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0.576</w:t>
            </w:r>
          </w:p>
        </w:tc>
        <w:tc>
          <w:tcPr>
            <w:tcW w:w="669" w:type="pct"/>
            <w:shd w:val="clear" w:color="auto" w:fill="auto"/>
            <w:noWrap/>
            <w:hideMark/>
          </w:tcPr>
          <w:p w14:paraId="24B6F45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0.811</w:t>
            </w:r>
          </w:p>
        </w:tc>
        <w:tc>
          <w:tcPr>
            <w:tcW w:w="753" w:type="pct"/>
            <w:shd w:val="clear" w:color="auto" w:fill="auto"/>
            <w:noWrap/>
            <w:hideMark/>
          </w:tcPr>
          <w:p w14:paraId="19C854D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0.548</w:t>
            </w:r>
          </w:p>
        </w:tc>
        <w:tc>
          <w:tcPr>
            <w:tcW w:w="711" w:type="pct"/>
            <w:shd w:val="clear" w:color="auto" w:fill="auto"/>
            <w:noWrap/>
            <w:hideMark/>
          </w:tcPr>
          <w:p w14:paraId="356CA96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0.539</w:t>
            </w:r>
          </w:p>
        </w:tc>
        <w:tc>
          <w:tcPr>
            <w:tcW w:w="418" w:type="pct"/>
            <w:shd w:val="clear" w:color="auto" w:fill="auto"/>
            <w:noWrap/>
            <w:hideMark/>
          </w:tcPr>
          <w:p w14:paraId="24AADB3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0.566</w:t>
            </w:r>
          </w:p>
        </w:tc>
        <w:tc>
          <w:tcPr>
            <w:tcW w:w="609" w:type="pct"/>
            <w:shd w:val="clear" w:color="auto" w:fill="auto"/>
            <w:noWrap/>
            <w:hideMark/>
          </w:tcPr>
          <w:p w14:paraId="49A777F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0.546</w:t>
            </w:r>
          </w:p>
        </w:tc>
      </w:tr>
      <w:tr w:rsidR="00227727" w:rsidRPr="00227727" w14:paraId="14E66980" w14:textId="77777777" w:rsidTr="00E772F3">
        <w:trPr>
          <w:trHeight w:val="288"/>
        </w:trPr>
        <w:tc>
          <w:tcPr>
            <w:tcW w:w="1170" w:type="pct"/>
            <w:shd w:val="clear" w:color="auto" w:fill="auto"/>
            <w:noWrap/>
            <w:hideMark/>
          </w:tcPr>
          <w:p w14:paraId="1B52A7B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HRMP4</w:t>
            </w:r>
          </w:p>
        </w:tc>
        <w:tc>
          <w:tcPr>
            <w:tcW w:w="670" w:type="pct"/>
            <w:shd w:val="clear" w:color="auto" w:fill="auto"/>
            <w:noWrap/>
            <w:hideMark/>
          </w:tcPr>
          <w:p w14:paraId="4CF83A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0.675</w:t>
            </w:r>
          </w:p>
        </w:tc>
        <w:tc>
          <w:tcPr>
            <w:tcW w:w="669" w:type="pct"/>
            <w:shd w:val="clear" w:color="auto" w:fill="auto"/>
            <w:noWrap/>
            <w:hideMark/>
          </w:tcPr>
          <w:p w14:paraId="69DA84A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0.774</w:t>
            </w:r>
          </w:p>
        </w:tc>
        <w:tc>
          <w:tcPr>
            <w:tcW w:w="753" w:type="pct"/>
            <w:shd w:val="clear" w:color="auto" w:fill="auto"/>
            <w:noWrap/>
            <w:hideMark/>
          </w:tcPr>
          <w:p w14:paraId="7F20399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0.641</w:t>
            </w:r>
          </w:p>
        </w:tc>
        <w:tc>
          <w:tcPr>
            <w:tcW w:w="711" w:type="pct"/>
            <w:shd w:val="clear" w:color="auto" w:fill="auto"/>
            <w:noWrap/>
            <w:hideMark/>
          </w:tcPr>
          <w:p w14:paraId="124E027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0.651</w:t>
            </w:r>
          </w:p>
        </w:tc>
        <w:tc>
          <w:tcPr>
            <w:tcW w:w="418" w:type="pct"/>
            <w:shd w:val="clear" w:color="auto" w:fill="auto"/>
            <w:noWrap/>
            <w:hideMark/>
          </w:tcPr>
          <w:p w14:paraId="55C05F8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0.669</w:t>
            </w:r>
          </w:p>
        </w:tc>
        <w:tc>
          <w:tcPr>
            <w:tcW w:w="609" w:type="pct"/>
            <w:shd w:val="clear" w:color="auto" w:fill="auto"/>
            <w:noWrap/>
            <w:hideMark/>
          </w:tcPr>
          <w:p w14:paraId="501D738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0.639</w:t>
            </w:r>
          </w:p>
        </w:tc>
      </w:tr>
      <w:tr w:rsidR="00227727" w:rsidRPr="00227727" w14:paraId="34D79BBB" w14:textId="77777777" w:rsidTr="00E772F3">
        <w:trPr>
          <w:trHeight w:val="288"/>
        </w:trPr>
        <w:tc>
          <w:tcPr>
            <w:tcW w:w="1170" w:type="pct"/>
            <w:shd w:val="clear" w:color="auto" w:fill="auto"/>
            <w:noWrap/>
            <w:hideMark/>
          </w:tcPr>
          <w:p w14:paraId="666A0A5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JP1</w:t>
            </w:r>
          </w:p>
        </w:tc>
        <w:tc>
          <w:tcPr>
            <w:tcW w:w="670" w:type="pct"/>
            <w:shd w:val="clear" w:color="auto" w:fill="auto"/>
            <w:noWrap/>
            <w:hideMark/>
          </w:tcPr>
          <w:p w14:paraId="0D1BD0A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0.581</w:t>
            </w:r>
          </w:p>
        </w:tc>
        <w:tc>
          <w:tcPr>
            <w:tcW w:w="669" w:type="pct"/>
            <w:shd w:val="clear" w:color="auto" w:fill="auto"/>
            <w:noWrap/>
            <w:hideMark/>
          </w:tcPr>
          <w:p w14:paraId="7F21363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0.581</w:t>
            </w:r>
          </w:p>
        </w:tc>
        <w:tc>
          <w:tcPr>
            <w:tcW w:w="753" w:type="pct"/>
            <w:shd w:val="clear" w:color="auto" w:fill="auto"/>
            <w:noWrap/>
            <w:hideMark/>
          </w:tcPr>
          <w:p w14:paraId="382AC79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0.811</w:t>
            </w:r>
          </w:p>
        </w:tc>
        <w:tc>
          <w:tcPr>
            <w:tcW w:w="711" w:type="pct"/>
            <w:shd w:val="clear" w:color="auto" w:fill="auto"/>
            <w:noWrap/>
            <w:hideMark/>
          </w:tcPr>
          <w:p w14:paraId="5C38727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0.582</w:t>
            </w:r>
          </w:p>
        </w:tc>
        <w:tc>
          <w:tcPr>
            <w:tcW w:w="418" w:type="pct"/>
            <w:shd w:val="clear" w:color="auto" w:fill="auto"/>
            <w:noWrap/>
            <w:hideMark/>
          </w:tcPr>
          <w:p w14:paraId="7C8CA51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0.573</w:t>
            </w:r>
          </w:p>
        </w:tc>
        <w:tc>
          <w:tcPr>
            <w:tcW w:w="609" w:type="pct"/>
            <w:shd w:val="clear" w:color="auto" w:fill="auto"/>
            <w:noWrap/>
            <w:hideMark/>
          </w:tcPr>
          <w:p w14:paraId="3AA7078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0.615</w:t>
            </w:r>
          </w:p>
        </w:tc>
      </w:tr>
      <w:tr w:rsidR="00227727" w:rsidRPr="00227727" w14:paraId="78D3767F" w14:textId="77777777" w:rsidTr="00E772F3">
        <w:trPr>
          <w:trHeight w:val="288"/>
        </w:trPr>
        <w:tc>
          <w:tcPr>
            <w:tcW w:w="1170" w:type="pct"/>
            <w:shd w:val="clear" w:color="auto" w:fill="auto"/>
            <w:noWrap/>
            <w:hideMark/>
          </w:tcPr>
          <w:p w14:paraId="4E7E33C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JP2</w:t>
            </w:r>
          </w:p>
        </w:tc>
        <w:tc>
          <w:tcPr>
            <w:tcW w:w="670" w:type="pct"/>
            <w:shd w:val="clear" w:color="auto" w:fill="auto"/>
            <w:noWrap/>
            <w:hideMark/>
          </w:tcPr>
          <w:p w14:paraId="5A95CAE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0.568</w:t>
            </w:r>
          </w:p>
        </w:tc>
        <w:tc>
          <w:tcPr>
            <w:tcW w:w="669" w:type="pct"/>
            <w:shd w:val="clear" w:color="auto" w:fill="auto"/>
            <w:noWrap/>
            <w:hideMark/>
          </w:tcPr>
          <w:p w14:paraId="3F972B0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0.532</w:t>
            </w:r>
          </w:p>
        </w:tc>
        <w:tc>
          <w:tcPr>
            <w:tcW w:w="753" w:type="pct"/>
            <w:shd w:val="clear" w:color="auto" w:fill="auto"/>
            <w:noWrap/>
            <w:hideMark/>
          </w:tcPr>
          <w:p w14:paraId="2559D30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0.799</w:t>
            </w:r>
          </w:p>
        </w:tc>
        <w:tc>
          <w:tcPr>
            <w:tcW w:w="711" w:type="pct"/>
            <w:shd w:val="clear" w:color="auto" w:fill="auto"/>
            <w:noWrap/>
            <w:hideMark/>
          </w:tcPr>
          <w:p w14:paraId="0202861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0.558</w:t>
            </w:r>
          </w:p>
        </w:tc>
        <w:tc>
          <w:tcPr>
            <w:tcW w:w="418" w:type="pct"/>
            <w:shd w:val="clear" w:color="auto" w:fill="auto"/>
            <w:noWrap/>
            <w:hideMark/>
          </w:tcPr>
          <w:p w14:paraId="35DE2D0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0.536</w:t>
            </w:r>
          </w:p>
        </w:tc>
        <w:tc>
          <w:tcPr>
            <w:tcW w:w="609" w:type="pct"/>
            <w:shd w:val="clear" w:color="auto" w:fill="auto"/>
            <w:noWrap/>
            <w:hideMark/>
          </w:tcPr>
          <w:p w14:paraId="2772C3E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0.577</w:t>
            </w:r>
          </w:p>
        </w:tc>
      </w:tr>
      <w:tr w:rsidR="00227727" w:rsidRPr="00227727" w14:paraId="5793C09D" w14:textId="77777777" w:rsidTr="00E772F3">
        <w:trPr>
          <w:trHeight w:val="288"/>
        </w:trPr>
        <w:tc>
          <w:tcPr>
            <w:tcW w:w="1170" w:type="pct"/>
            <w:shd w:val="clear" w:color="auto" w:fill="auto"/>
            <w:noWrap/>
            <w:hideMark/>
          </w:tcPr>
          <w:p w14:paraId="6375DBB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JP3</w:t>
            </w:r>
          </w:p>
        </w:tc>
        <w:tc>
          <w:tcPr>
            <w:tcW w:w="670" w:type="pct"/>
            <w:shd w:val="clear" w:color="auto" w:fill="auto"/>
            <w:noWrap/>
            <w:hideMark/>
          </w:tcPr>
          <w:p w14:paraId="3B7A3BB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0.608</w:t>
            </w:r>
          </w:p>
        </w:tc>
        <w:tc>
          <w:tcPr>
            <w:tcW w:w="669" w:type="pct"/>
            <w:shd w:val="clear" w:color="auto" w:fill="auto"/>
            <w:noWrap/>
            <w:hideMark/>
          </w:tcPr>
          <w:p w14:paraId="5B51C59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0.495</w:t>
            </w:r>
          </w:p>
        </w:tc>
        <w:tc>
          <w:tcPr>
            <w:tcW w:w="753" w:type="pct"/>
            <w:shd w:val="clear" w:color="auto" w:fill="auto"/>
            <w:noWrap/>
            <w:hideMark/>
          </w:tcPr>
          <w:p w14:paraId="6B15A06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0.781</w:t>
            </w:r>
          </w:p>
        </w:tc>
        <w:tc>
          <w:tcPr>
            <w:tcW w:w="711" w:type="pct"/>
            <w:shd w:val="clear" w:color="auto" w:fill="auto"/>
            <w:noWrap/>
            <w:hideMark/>
          </w:tcPr>
          <w:p w14:paraId="37B7368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0.550</w:t>
            </w:r>
          </w:p>
        </w:tc>
        <w:tc>
          <w:tcPr>
            <w:tcW w:w="418" w:type="pct"/>
            <w:shd w:val="clear" w:color="auto" w:fill="auto"/>
            <w:noWrap/>
            <w:hideMark/>
          </w:tcPr>
          <w:p w14:paraId="0AB3D23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0.564</w:t>
            </w:r>
          </w:p>
        </w:tc>
        <w:tc>
          <w:tcPr>
            <w:tcW w:w="609" w:type="pct"/>
            <w:shd w:val="clear" w:color="auto" w:fill="auto"/>
            <w:noWrap/>
            <w:hideMark/>
          </w:tcPr>
          <w:p w14:paraId="2F93E3B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0.572</w:t>
            </w:r>
          </w:p>
        </w:tc>
      </w:tr>
      <w:tr w:rsidR="00227727" w:rsidRPr="00227727" w14:paraId="1C77D44E" w14:textId="77777777" w:rsidTr="00E772F3">
        <w:trPr>
          <w:trHeight w:val="288"/>
        </w:trPr>
        <w:tc>
          <w:tcPr>
            <w:tcW w:w="1170" w:type="pct"/>
            <w:shd w:val="clear" w:color="auto" w:fill="auto"/>
            <w:noWrap/>
            <w:hideMark/>
          </w:tcPr>
          <w:p w14:paraId="5A513EC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JP4</w:t>
            </w:r>
          </w:p>
        </w:tc>
        <w:tc>
          <w:tcPr>
            <w:tcW w:w="670" w:type="pct"/>
            <w:shd w:val="clear" w:color="auto" w:fill="auto"/>
            <w:noWrap/>
            <w:hideMark/>
          </w:tcPr>
          <w:p w14:paraId="79E1EF7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0.754</w:t>
            </w:r>
          </w:p>
        </w:tc>
        <w:tc>
          <w:tcPr>
            <w:tcW w:w="669" w:type="pct"/>
            <w:shd w:val="clear" w:color="auto" w:fill="auto"/>
            <w:noWrap/>
            <w:hideMark/>
          </w:tcPr>
          <w:p w14:paraId="6BABC7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0.665</w:t>
            </w:r>
          </w:p>
        </w:tc>
        <w:tc>
          <w:tcPr>
            <w:tcW w:w="753" w:type="pct"/>
            <w:shd w:val="clear" w:color="auto" w:fill="auto"/>
            <w:noWrap/>
            <w:hideMark/>
          </w:tcPr>
          <w:p w14:paraId="3802E0E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0.800</w:t>
            </w:r>
          </w:p>
        </w:tc>
        <w:tc>
          <w:tcPr>
            <w:tcW w:w="711" w:type="pct"/>
            <w:shd w:val="clear" w:color="auto" w:fill="auto"/>
            <w:noWrap/>
            <w:hideMark/>
          </w:tcPr>
          <w:p w14:paraId="6179F1E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0.704</w:t>
            </w:r>
          </w:p>
        </w:tc>
        <w:tc>
          <w:tcPr>
            <w:tcW w:w="418" w:type="pct"/>
            <w:shd w:val="clear" w:color="auto" w:fill="auto"/>
            <w:noWrap/>
            <w:hideMark/>
          </w:tcPr>
          <w:p w14:paraId="1E410BE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0.728</w:t>
            </w:r>
          </w:p>
        </w:tc>
        <w:tc>
          <w:tcPr>
            <w:tcW w:w="609" w:type="pct"/>
            <w:shd w:val="clear" w:color="auto" w:fill="auto"/>
            <w:noWrap/>
            <w:hideMark/>
          </w:tcPr>
          <w:p w14:paraId="407325A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0.680</w:t>
            </w:r>
          </w:p>
        </w:tc>
      </w:tr>
      <w:tr w:rsidR="00227727" w:rsidRPr="00227727" w14:paraId="684DBF02" w14:textId="77777777" w:rsidTr="00E772F3">
        <w:trPr>
          <w:trHeight w:val="288"/>
        </w:trPr>
        <w:tc>
          <w:tcPr>
            <w:tcW w:w="1170" w:type="pct"/>
            <w:shd w:val="clear" w:color="auto" w:fill="auto"/>
            <w:noWrap/>
            <w:hideMark/>
          </w:tcPr>
          <w:p w14:paraId="3C18720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JS3</w:t>
            </w:r>
          </w:p>
        </w:tc>
        <w:tc>
          <w:tcPr>
            <w:tcW w:w="670" w:type="pct"/>
            <w:shd w:val="clear" w:color="auto" w:fill="auto"/>
            <w:noWrap/>
            <w:hideMark/>
          </w:tcPr>
          <w:p w14:paraId="10DA56A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0.718</w:t>
            </w:r>
          </w:p>
        </w:tc>
        <w:tc>
          <w:tcPr>
            <w:tcW w:w="669" w:type="pct"/>
            <w:shd w:val="clear" w:color="auto" w:fill="auto"/>
            <w:noWrap/>
            <w:hideMark/>
          </w:tcPr>
          <w:p w14:paraId="233AE05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0.601</w:t>
            </w:r>
          </w:p>
        </w:tc>
        <w:tc>
          <w:tcPr>
            <w:tcW w:w="753" w:type="pct"/>
            <w:shd w:val="clear" w:color="auto" w:fill="auto"/>
            <w:noWrap/>
            <w:hideMark/>
          </w:tcPr>
          <w:p w14:paraId="24BC5E3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0.612</w:t>
            </w:r>
          </w:p>
        </w:tc>
        <w:tc>
          <w:tcPr>
            <w:tcW w:w="711" w:type="pct"/>
            <w:shd w:val="clear" w:color="auto" w:fill="auto"/>
            <w:noWrap/>
            <w:hideMark/>
          </w:tcPr>
          <w:p w14:paraId="697829B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0.704</w:t>
            </w:r>
          </w:p>
        </w:tc>
        <w:tc>
          <w:tcPr>
            <w:tcW w:w="418" w:type="pct"/>
            <w:shd w:val="clear" w:color="auto" w:fill="auto"/>
            <w:noWrap/>
            <w:hideMark/>
          </w:tcPr>
          <w:p w14:paraId="41E45BD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0.829</w:t>
            </w:r>
          </w:p>
        </w:tc>
        <w:tc>
          <w:tcPr>
            <w:tcW w:w="609" w:type="pct"/>
            <w:shd w:val="clear" w:color="auto" w:fill="auto"/>
            <w:noWrap/>
            <w:hideMark/>
          </w:tcPr>
          <w:p w14:paraId="70A4409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0.673</w:t>
            </w:r>
          </w:p>
        </w:tc>
      </w:tr>
      <w:tr w:rsidR="00227727" w:rsidRPr="00227727" w14:paraId="400B2B77" w14:textId="77777777" w:rsidTr="00E772F3">
        <w:trPr>
          <w:trHeight w:val="288"/>
        </w:trPr>
        <w:tc>
          <w:tcPr>
            <w:tcW w:w="1170" w:type="pct"/>
            <w:shd w:val="clear" w:color="auto" w:fill="auto"/>
            <w:noWrap/>
            <w:hideMark/>
          </w:tcPr>
          <w:p w14:paraId="09A5A2B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JS4</w:t>
            </w:r>
          </w:p>
        </w:tc>
        <w:tc>
          <w:tcPr>
            <w:tcW w:w="670" w:type="pct"/>
            <w:shd w:val="clear" w:color="auto" w:fill="auto"/>
            <w:noWrap/>
            <w:hideMark/>
          </w:tcPr>
          <w:p w14:paraId="326125E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0.730</w:t>
            </w:r>
          </w:p>
        </w:tc>
        <w:tc>
          <w:tcPr>
            <w:tcW w:w="669" w:type="pct"/>
            <w:shd w:val="clear" w:color="auto" w:fill="auto"/>
            <w:noWrap/>
            <w:hideMark/>
          </w:tcPr>
          <w:p w14:paraId="53F797F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0.586</w:t>
            </w:r>
          </w:p>
        </w:tc>
        <w:tc>
          <w:tcPr>
            <w:tcW w:w="753" w:type="pct"/>
            <w:shd w:val="clear" w:color="auto" w:fill="auto"/>
            <w:noWrap/>
            <w:hideMark/>
          </w:tcPr>
          <w:p w14:paraId="5C8E778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0.592</w:t>
            </w:r>
          </w:p>
        </w:tc>
        <w:tc>
          <w:tcPr>
            <w:tcW w:w="711" w:type="pct"/>
            <w:shd w:val="clear" w:color="auto" w:fill="auto"/>
            <w:noWrap/>
            <w:hideMark/>
          </w:tcPr>
          <w:p w14:paraId="608DA10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0.692</w:t>
            </w:r>
          </w:p>
        </w:tc>
        <w:tc>
          <w:tcPr>
            <w:tcW w:w="418" w:type="pct"/>
            <w:shd w:val="clear" w:color="auto" w:fill="auto"/>
            <w:noWrap/>
            <w:hideMark/>
          </w:tcPr>
          <w:p w14:paraId="34689CC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0.806</w:t>
            </w:r>
          </w:p>
        </w:tc>
        <w:tc>
          <w:tcPr>
            <w:tcW w:w="609" w:type="pct"/>
            <w:shd w:val="clear" w:color="auto" w:fill="auto"/>
            <w:noWrap/>
            <w:hideMark/>
          </w:tcPr>
          <w:p w14:paraId="2C547B4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0.654</w:t>
            </w:r>
          </w:p>
        </w:tc>
      </w:tr>
      <w:tr w:rsidR="00227727" w:rsidRPr="00227727" w14:paraId="16946CBA" w14:textId="77777777" w:rsidTr="00E772F3">
        <w:trPr>
          <w:trHeight w:val="288"/>
        </w:trPr>
        <w:tc>
          <w:tcPr>
            <w:tcW w:w="1170" w:type="pct"/>
            <w:shd w:val="clear" w:color="auto" w:fill="auto"/>
            <w:noWrap/>
            <w:hideMark/>
          </w:tcPr>
          <w:p w14:paraId="078F3CB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JS5</w:t>
            </w:r>
          </w:p>
        </w:tc>
        <w:tc>
          <w:tcPr>
            <w:tcW w:w="670" w:type="pct"/>
            <w:shd w:val="clear" w:color="auto" w:fill="auto"/>
            <w:noWrap/>
            <w:hideMark/>
          </w:tcPr>
          <w:p w14:paraId="1D17F83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0.687</w:t>
            </w:r>
          </w:p>
        </w:tc>
        <w:tc>
          <w:tcPr>
            <w:tcW w:w="669" w:type="pct"/>
            <w:shd w:val="clear" w:color="auto" w:fill="auto"/>
            <w:noWrap/>
            <w:hideMark/>
          </w:tcPr>
          <w:p w14:paraId="3B9A2C6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0.574</w:t>
            </w:r>
          </w:p>
        </w:tc>
        <w:tc>
          <w:tcPr>
            <w:tcW w:w="753" w:type="pct"/>
            <w:shd w:val="clear" w:color="auto" w:fill="auto"/>
            <w:noWrap/>
            <w:hideMark/>
          </w:tcPr>
          <w:p w14:paraId="24A522E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0.568</w:t>
            </w:r>
          </w:p>
        </w:tc>
        <w:tc>
          <w:tcPr>
            <w:tcW w:w="711" w:type="pct"/>
            <w:shd w:val="clear" w:color="auto" w:fill="auto"/>
            <w:noWrap/>
            <w:hideMark/>
          </w:tcPr>
          <w:p w14:paraId="6E391BC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0.661</w:t>
            </w:r>
          </w:p>
        </w:tc>
        <w:tc>
          <w:tcPr>
            <w:tcW w:w="418" w:type="pct"/>
            <w:shd w:val="clear" w:color="auto" w:fill="auto"/>
            <w:noWrap/>
            <w:hideMark/>
          </w:tcPr>
          <w:p w14:paraId="1FEBD16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0.776</w:t>
            </w:r>
          </w:p>
        </w:tc>
        <w:tc>
          <w:tcPr>
            <w:tcW w:w="609" w:type="pct"/>
            <w:shd w:val="clear" w:color="auto" w:fill="auto"/>
            <w:noWrap/>
            <w:hideMark/>
          </w:tcPr>
          <w:p w14:paraId="34CC242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0.618</w:t>
            </w:r>
          </w:p>
        </w:tc>
      </w:tr>
      <w:tr w:rsidR="00227727" w:rsidRPr="00227727" w14:paraId="24273FDA" w14:textId="77777777" w:rsidTr="00E772F3">
        <w:trPr>
          <w:trHeight w:val="288"/>
        </w:trPr>
        <w:tc>
          <w:tcPr>
            <w:tcW w:w="1170" w:type="pct"/>
            <w:shd w:val="clear" w:color="auto" w:fill="auto"/>
            <w:noWrap/>
            <w:hideMark/>
          </w:tcPr>
          <w:p w14:paraId="571BCCA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JS6</w:t>
            </w:r>
          </w:p>
        </w:tc>
        <w:tc>
          <w:tcPr>
            <w:tcW w:w="670" w:type="pct"/>
            <w:shd w:val="clear" w:color="auto" w:fill="auto"/>
            <w:noWrap/>
            <w:hideMark/>
          </w:tcPr>
          <w:p w14:paraId="6086D52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0.660</w:t>
            </w:r>
          </w:p>
        </w:tc>
        <w:tc>
          <w:tcPr>
            <w:tcW w:w="669" w:type="pct"/>
            <w:shd w:val="clear" w:color="auto" w:fill="auto"/>
            <w:noWrap/>
            <w:hideMark/>
          </w:tcPr>
          <w:p w14:paraId="2FACBCC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0.564</w:t>
            </w:r>
          </w:p>
        </w:tc>
        <w:tc>
          <w:tcPr>
            <w:tcW w:w="753" w:type="pct"/>
            <w:shd w:val="clear" w:color="auto" w:fill="auto"/>
            <w:noWrap/>
            <w:hideMark/>
          </w:tcPr>
          <w:p w14:paraId="10D3A05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0.575</w:t>
            </w:r>
          </w:p>
        </w:tc>
        <w:tc>
          <w:tcPr>
            <w:tcW w:w="711" w:type="pct"/>
            <w:shd w:val="clear" w:color="auto" w:fill="auto"/>
            <w:noWrap/>
            <w:hideMark/>
          </w:tcPr>
          <w:p w14:paraId="21BB3FB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0.670</w:t>
            </w:r>
          </w:p>
        </w:tc>
        <w:tc>
          <w:tcPr>
            <w:tcW w:w="418" w:type="pct"/>
            <w:shd w:val="clear" w:color="auto" w:fill="auto"/>
            <w:noWrap/>
            <w:hideMark/>
          </w:tcPr>
          <w:p w14:paraId="2787161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0.752</w:t>
            </w:r>
          </w:p>
        </w:tc>
        <w:tc>
          <w:tcPr>
            <w:tcW w:w="609" w:type="pct"/>
            <w:shd w:val="clear" w:color="auto" w:fill="auto"/>
            <w:noWrap/>
            <w:hideMark/>
          </w:tcPr>
          <w:p w14:paraId="0467FB7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0.632</w:t>
            </w:r>
          </w:p>
        </w:tc>
      </w:tr>
      <w:tr w:rsidR="00227727" w:rsidRPr="00227727" w14:paraId="09AD0BFD" w14:textId="77777777" w:rsidTr="00E772F3">
        <w:trPr>
          <w:trHeight w:val="288"/>
        </w:trPr>
        <w:tc>
          <w:tcPr>
            <w:tcW w:w="1170" w:type="pct"/>
            <w:shd w:val="clear" w:color="auto" w:fill="auto"/>
            <w:noWrap/>
            <w:hideMark/>
          </w:tcPr>
          <w:p w14:paraId="10C9617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JS7</w:t>
            </w:r>
          </w:p>
        </w:tc>
        <w:tc>
          <w:tcPr>
            <w:tcW w:w="670" w:type="pct"/>
            <w:shd w:val="clear" w:color="auto" w:fill="auto"/>
            <w:noWrap/>
            <w:hideMark/>
          </w:tcPr>
          <w:p w14:paraId="18ABFE5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0.722</w:t>
            </w:r>
          </w:p>
        </w:tc>
        <w:tc>
          <w:tcPr>
            <w:tcW w:w="669" w:type="pct"/>
            <w:shd w:val="clear" w:color="auto" w:fill="auto"/>
            <w:noWrap/>
            <w:hideMark/>
          </w:tcPr>
          <w:p w14:paraId="19487A9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0.642</w:t>
            </w:r>
          </w:p>
        </w:tc>
        <w:tc>
          <w:tcPr>
            <w:tcW w:w="753" w:type="pct"/>
            <w:shd w:val="clear" w:color="auto" w:fill="auto"/>
            <w:noWrap/>
            <w:hideMark/>
          </w:tcPr>
          <w:p w14:paraId="0C92B9F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0.634</w:t>
            </w:r>
          </w:p>
        </w:tc>
        <w:tc>
          <w:tcPr>
            <w:tcW w:w="711" w:type="pct"/>
            <w:shd w:val="clear" w:color="auto" w:fill="auto"/>
            <w:noWrap/>
            <w:hideMark/>
          </w:tcPr>
          <w:p w14:paraId="73F3D49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0.726</w:t>
            </w:r>
          </w:p>
        </w:tc>
        <w:tc>
          <w:tcPr>
            <w:tcW w:w="418" w:type="pct"/>
            <w:shd w:val="clear" w:color="auto" w:fill="auto"/>
            <w:noWrap/>
            <w:hideMark/>
          </w:tcPr>
          <w:p w14:paraId="6C2EE19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0.827</w:t>
            </w:r>
          </w:p>
        </w:tc>
        <w:tc>
          <w:tcPr>
            <w:tcW w:w="609" w:type="pct"/>
            <w:shd w:val="clear" w:color="auto" w:fill="auto"/>
            <w:noWrap/>
            <w:hideMark/>
          </w:tcPr>
          <w:p w14:paraId="5D90738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0.663</w:t>
            </w:r>
          </w:p>
        </w:tc>
      </w:tr>
      <w:tr w:rsidR="00227727" w:rsidRPr="00227727" w14:paraId="45D207C3" w14:textId="77777777" w:rsidTr="00E772F3">
        <w:trPr>
          <w:trHeight w:val="288"/>
        </w:trPr>
        <w:tc>
          <w:tcPr>
            <w:tcW w:w="1170" w:type="pct"/>
            <w:shd w:val="clear" w:color="auto" w:fill="auto"/>
            <w:noWrap/>
            <w:hideMark/>
          </w:tcPr>
          <w:p w14:paraId="4EB1ABB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JS8</w:t>
            </w:r>
          </w:p>
        </w:tc>
        <w:tc>
          <w:tcPr>
            <w:tcW w:w="670" w:type="pct"/>
            <w:shd w:val="clear" w:color="auto" w:fill="auto"/>
            <w:noWrap/>
            <w:hideMark/>
          </w:tcPr>
          <w:p w14:paraId="1116992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0.718</w:t>
            </w:r>
          </w:p>
        </w:tc>
        <w:tc>
          <w:tcPr>
            <w:tcW w:w="669" w:type="pct"/>
            <w:shd w:val="clear" w:color="auto" w:fill="auto"/>
            <w:noWrap/>
            <w:hideMark/>
          </w:tcPr>
          <w:p w14:paraId="2AFD393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0.617</w:t>
            </w:r>
          </w:p>
        </w:tc>
        <w:tc>
          <w:tcPr>
            <w:tcW w:w="753" w:type="pct"/>
            <w:shd w:val="clear" w:color="auto" w:fill="auto"/>
            <w:noWrap/>
            <w:hideMark/>
          </w:tcPr>
          <w:p w14:paraId="4F87DB1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0.649</w:t>
            </w:r>
          </w:p>
        </w:tc>
        <w:tc>
          <w:tcPr>
            <w:tcW w:w="711" w:type="pct"/>
            <w:shd w:val="clear" w:color="auto" w:fill="auto"/>
            <w:noWrap/>
            <w:hideMark/>
          </w:tcPr>
          <w:p w14:paraId="29ED472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0.710</w:t>
            </w:r>
          </w:p>
        </w:tc>
        <w:tc>
          <w:tcPr>
            <w:tcW w:w="418" w:type="pct"/>
            <w:shd w:val="clear" w:color="auto" w:fill="auto"/>
            <w:noWrap/>
            <w:hideMark/>
          </w:tcPr>
          <w:p w14:paraId="0ED0047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0.800</w:t>
            </w:r>
          </w:p>
        </w:tc>
        <w:tc>
          <w:tcPr>
            <w:tcW w:w="609" w:type="pct"/>
            <w:shd w:val="clear" w:color="auto" w:fill="auto"/>
            <w:noWrap/>
            <w:hideMark/>
          </w:tcPr>
          <w:p w14:paraId="5D489D9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0.628</w:t>
            </w:r>
          </w:p>
        </w:tc>
      </w:tr>
      <w:tr w:rsidR="00227727" w:rsidRPr="00227727" w14:paraId="67629CF4" w14:textId="77777777" w:rsidTr="00E772F3">
        <w:trPr>
          <w:trHeight w:val="288"/>
        </w:trPr>
        <w:tc>
          <w:tcPr>
            <w:tcW w:w="1170" w:type="pct"/>
            <w:shd w:val="clear" w:color="auto" w:fill="auto"/>
            <w:noWrap/>
            <w:hideMark/>
          </w:tcPr>
          <w:p w14:paraId="2580AB3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JS9</w:t>
            </w:r>
          </w:p>
        </w:tc>
        <w:tc>
          <w:tcPr>
            <w:tcW w:w="670" w:type="pct"/>
            <w:shd w:val="clear" w:color="auto" w:fill="auto"/>
            <w:noWrap/>
            <w:hideMark/>
          </w:tcPr>
          <w:p w14:paraId="5436367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0.745</w:t>
            </w:r>
          </w:p>
        </w:tc>
        <w:tc>
          <w:tcPr>
            <w:tcW w:w="669" w:type="pct"/>
            <w:shd w:val="clear" w:color="auto" w:fill="auto"/>
            <w:noWrap/>
            <w:hideMark/>
          </w:tcPr>
          <w:p w14:paraId="3ED4AEB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0.608</w:t>
            </w:r>
          </w:p>
        </w:tc>
        <w:tc>
          <w:tcPr>
            <w:tcW w:w="753" w:type="pct"/>
            <w:shd w:val="clear" w:color="auto" w:fill="auto"/>
            <w:noWrap/>
            <w:hideMark/>
          </w:tcPr>
          <w:p w14:paraId="003EF4B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0.639</w:t>
            </w:r>
          </w:p>
        </w:tc>
        <w:tc>
          <w:tcPr>
            <w:tcW w:w="711" w:type="pct"/>
            <w:shd w:val="clear" w:color="auto" w:fill="auto"/>
            <w:noWrap/>
            <w:hideMark/>
          </w:tcPr>
          <w:p w14:paraId="0A3E518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0.727</w:t>
            </w:r>
          </w:p>
        </w:tc>
        <w:tc>
          <w:tcPr>
            <w:tcW w:w="418" w:type="pct"/>
            <w:shd w:val="clear" w:color="auto" w:fill="auto"/>
            <w:noWrap/>
            <w:hideMark/>
          </w:tcPr>
          <w:p w14:paraId="13CB052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0.818</w:t>
            </w:r>
          </w:p>
        </w:tc>
        <w:tc>
          <w:tcPr>
            <w:tcW w:w="609" w:type="pct"/>
            <w:shd w:val="clear" w:color="auto" w:fill="auto"/>
            <w:noWrap/>
            <w:hideMark/>
          </w:tcPr>
          <w:p w14:paraId="6E91B89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0.679</w:t>
            </w:r>
          </w:p>
        </w:tc>
      </w:tr>
      <w:tr w:rsidR="00227727" w:rsidRPr="00227727" w14:paraId="20868E33" w14:textId="77777777" w:rsidTr="00E772F3">
        <w:trPr>
          <w:trHeight w:val="288"/>
        </w:trPr>
        <w:tc>
          <w:tcPr>
            <w:tcW w:w="1170" w:type="pct"/>
            <w:shd w:val="clear" w:color="auto" w:fill="auto"/>
            <w:noWrap/>
            <w:hideMark/>
          </w:tcPr>
          <w:p w14:paraId="4D2C320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JSA1</w:t>
            </w:r>
          </w:p>
        </w:tc>
        <w:tc>
          <w:tcPr>
            <w:tcW w:w="670" w:type="pct"/>
            <w:shd w:val="clear" w:color="auto" w:fill="auto"/>
            <w:noWrap/>
            <w:hideMark/>
          </w:tcPr>
          <w:p w14:paraId="33890EC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0.790</w:t>
            </w:r>
          </w:p>
        </w:tc>
        <w:tc>
          <w:tcPr>
            <w:tcW w:w="669" w:type="pct"/>
            <w:shd w:val="clear" w:color="auto" w:fill="auto"/>
            <w:noWrap/>
            <w:hideMark/>
          </w:tcPr>
          <w:p w14:paraId="2C083A3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0.652</w:t>
            </w:r>
          </w:p>
        </w:tc>
        <w:tc>
          <w:tcPr>
            <w:tcW w:w="753" w:type="pct"/>
            <w:shd w:val="clear" w:color="auto" w:fill="auto"/>
            <w:noWrap/>
            <w:hideMark/>
          </w:tcPr>
          <w:p w14:paraId="52AE0E9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0.649</w:t>
            </w:r>
          </w:p>
        </w:tc>
        <w:tc>
          <w:tcPr>
            <w:tcW w:w="711" w:type="pct"/>
            <w:shd w:val="clear" w:color="auto" w:fill="auto"/>
            <w:noWrap/>
            <w:hideMark/>
          </w:tcPr>
          <w:p w14:paraId="7A73BDE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0.862</w:t>
            </w:r>
          </w:p>
        </w:tc>
        <w:tc>
          <w:tcPr>
            <w:tcW w:w="418" w:type="pct"/>
            <w:shd w:val="clear" w:color="auto" w:fill="auto"/>
            <w:noWrap/>
            <w:hideMark/>
          </w:tcPr>
          <w:p w14:paraId="4549467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0.752</w:t>
            </w:r>
          </w:p>
        </w:tc>
        <w:tc>
          <w:tcPr>
            <w:tcW w:w="609" w:type="pct"/>
            <w:shd w:val="clear" w:color="auto" w:fill="auto"/>
            <w:noWrap/>
            <w:hideMark/>
          </w:tcPr>
          <w:p w14:paraId="2720631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0.724</w:t>
            </w:r>
          </w:p>
        </w:tc>
      </w:tr>
      <w:tr w:rsidR="00227727" w:rsidRPr="00227727" w14:paraId="58CDC292" w14:textId="77777777" w:rsidTr="00E772F3">
        <w:trPr>
          <w:trHeight w:val="288"/>
        </w:trPr>
        <w:tc>
          <w:tcPr>
            <w:tcW w:w="1170" w:type="pct"/>
            <w:shd w:val="clear" w:color="auto" w:fill="auto"/>
            <w:noWrap/>
            <w:hideMark/>
          </w:tcPr>
          <w:p w14:paraId="650A056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JSA2</w:t>
            </w:r>
          </w:p>
        </w:tc>
        <w:tc>
          <w:tcPr>
            <w:tcW w:w="670" w:type="pct"/>
            <w:shd w:val="clear" w:color="auto" w:fill="auto"/>
            <w:noWrap/>
            <w:hideMark/>
          </w:tcPr>
          <w:p w14:paraId="4C7D45A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0.746</w:t>
            </w:r>
          </w:p>
        </w:tc>
        <w:tc>
          <w:tcPr>
            <w:tcW w:w="669" w:type="pct"/>
            <w:shd w:val="clear" w:color="auto" w:fill="auto"/>
            <w:noWrap/>
            <w:hideMark/>
          </w:tcPr>
          <w:p w14:paraId="7CE7368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0.598</w:t>
            </w:r>
          </w:p>
        </w:tc>
        <w:tc>
          <w:tcPr>
            <w:tcW w:w="753" w:type="pct"/>
            <w:shd w:val="clear" w:color="auto" w:fill="auto"/>
            <w:noWrap/>
            <w:hideMark/>
          </w:tcPr>
          <w:p w14:paraId="4D2468E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0.615</w:t>
            </w:r>
          </w:p>
        </w:tc>
        <w:tc>
          <w:tcPr>
            <w:tcW w:w="711" w:type="pct"/>
            <w:shd w:val="clear" w:color="auto" w:fill="auto"/>
            <w:noWrap/>
            <w:hideMark/>
          </w:tcPr>
          <w:p w14:paraId="08D87FA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0.827</w:t>
            </w:r>
          </w:p>
        </w:tc>
        <w:tc>
          <w:tcPr>
            <w:tcW w:w="418" w:type="pct"/>
            <w:shd w:val="clear" w:color="auto" w:fill="auto"/>
            <w:noWrap/>
            <w:hideMark/>
          </w:tcPr>
          <w:p w14:paraId="74A592B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0.714</w:t>
            </w:r>
          </w:p>
        </w:tc>
        <w:tc>
          <w:tcPr>
            <w:tcW w:w="609" w:type="pct"/>
            <w:shd w:val="clear" w:color="auto" w:fill="auto"/>
            <w:noWrap/>
            <w:hideMark/>
          </w:tcPr>
          <w:p w14:paraId="0EFB468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0.690</w:t>
            </w:r>
          </w:p>
        </w:tc>
      </w:tr>
      <w:tr w:rsidR="00227727" w:rsidRPr="00227727" w14:paraId="70BDC4B5" w14:textId="77777777" w:rsidTr="00E772F3">
        <w:trPr>
          <w:trHeight w:val="288"/>
        </w:trPr>
        <w:tc>
          <w:tcPr>
            <w:tcW w:w="1170" w:type="pct"/>
            <w:shd w:val="clear" w:color="auto" w:fill="auto"/>
            <w:noWrap/>
            <w:hideMark/>
          </w:tcPr>
          <w:p w14:paraId="68AE3BD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JSA3</w:t>
            </w:r>
          </w:p>
        </w:tc>
        <w:tc>
          <w:tcPr>
            <w:tcW w:w="670" w:type="pct"/>
            <w:shd w:val="clear" w:color="auto" w:fill="auto"/>
            <w:noWrap/>
            <w:hideMark/>
          </w:tcPr>
          <w:p w14:paraId="7F3AC16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0.738</w:t>
            </w:r>
          </w:p>
        </w:tc>
        <w:tc>
          <w:tcPr>
            <w:tcW w:w="669" w:type="pct"/>
            <w:shd w:val="clear" w:color="auto" w:fill="auto"/>
            <w:noWrap/>
            <w:hideMark/>
          </w:tcPr>
          <w:p w14:paraId="0C19A65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0.536</w:t>
            </w:r>
          </w:p>
        </w:tc>
        <w:tc>
          <w:tcPr>
            <w:tcW w:w="753" w:type="pct"/>
            <w:shd w:val="clear" w:color="auto" w:fill="auto"/>
            <w:noWrap/>
            <w:hideMark/>
          </w:tcPr>
          <w:p w14:paraId="4F102ED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0.642</w:t>
            </w:r>
          </w:p>
        </w:tc>
        <w:tc>
          <w:tcPr>
            <w:tcW w:w="711" w:type="pct"/>
            <w:shd w:val="clear" w:color="auto" w:fill="auto"/>
            <w:noWrap/>
            <w:hideMark/>
          </w:tcPr>
          <w:p w14:paraId="3AE23EB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0.799</w:t>
            </w:r>
          </w:p>
        </w:tc>
        <w:tc>
          <w:tcPr>
            <w:tcW w:w="418" w:type="pct"/>
            <w:shd w:val="clear" w:color="auto" w:fill="auto"/>
            <w:noWrap/>
            <w:hideMark/>
          </w:tcPr>
          <w:p w14:paraId="148C739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0.734</w:t>
            </w:r>
          </w:p>
        </w:tc>
        <w:tc>
          <w:tcPr>
            <w:tcW w:w="609" w:type="pct"/>
            <w:shd w:val="clear" w:color="auto" w:fill="auto"/>
            <w:noWrap/>
            <w:hideMark/>
          </w:tcPr>
          <w:p w14:paraId="6B3BD09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0.653</w:t>
            </w:r>
          </w:p>
        </w:tc>
      </w:tr>
      <w:tr w:rsidR="00227727" w:rsidRPr="00227727" w14:paraId="57ADB446" w14:textId="77777777" w:rsidTr="00E772F3">
        <w:trPr>
          <w:trHeight w:val="288"/>
        </w:trPr>
        <w:tc>
          <w:tcPr>
            <w:tcW w:w="1170" w:type="pct"/>
            <w:shd w:val="clear" w:color="auto" w:fill="auto"/>
            <w:noWrap/>
            <w:hideMark/>
          </w:tcPr>
          <w:p w14:paraId="3B30593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JSA4</w:t>
            </w:r>
          </w:p>
        </w:tc>
        <w:tc>
          <w:tcPr>
            <w:tcW w:w="670" w:type="pct"/>
            <w:shd w:val="clear" w:color="auto" w:fill="auto"/>
            <w:noWrap/>
            <w:hideMark/>
          </w:tcPr>
          <w:p w14:paraId="48DAE6B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0.790</w:t>
            </w:r>
          </w:p>
        </w:tc>
        <w:tc>
          <w:tcPr>
            <w:tcW w:w="669" w:type="pct"/>
            <w:shd w:val="clear" w:color="auto" w:fill="auto"/>
            <w:noWrap/>
            <w:hideMark/>
          </w:tcPr>
          <w:p w14:paraId="10D12D7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0.655</w:t>
            </w:r>
          </w:p>
        </w:tc>
        <w:tc>
          <w:tcPr>
            <w:tcW w:w="753" w:type="pct"/>
            <w:shd w:val="clear" w:color="auto" w:fill="auto"/>
            <w:noWrap/>
            <w:hideMark/>
          </w:tcPr>
          <w:p w14:paraId="43C99F7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0.647</w:t>
            </w:r>
          </w:p>
        </w:tc>
        <w:tc>
          <w:tcPr>
            <w:tcW w:w="711" w:type="pct"/>
            <w:shd w:val="clear" w:color="auto" w:fill="auto"/>
            <w:noWrap/>
            <w:hideMark/>
          </w:tcPr>
          <w:p w14:paraId="28F7A0C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0.864</w:t>
            </w:r>
          </w:p>
        </w:tc>
        <w:tc>
          <w:tcPr>
            <w:tcW w:w="418" w:type="pct"/>
            <w:shd w:val="clear" w:color="auto" w:fill="auto"/>
            <w:noWrap/>
            <w:hideMark/>
          </w:tcPr>
          <w:p w14:paraId="3EDEBDA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0.744</w:t>
            </w:r>
          </w:p>
        </w:tc>
        <w:tc>
          <w:tcPr>
            <w:tcW w:w="609" w:type="pct"/>
            <w:shd w:val="clear" w:color="auto" w:fill="auto"/>
            <w:noWrap/>
            <w:hideMark/>
          </w:tcPr>
          <w:p w14:paraId="021E18E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0.719</w:t>
            </w:r>
          </w:p>
        </w:tc>
      </w:tr>
      <w:tr w:rsidR="00227727" w:rsidRPr="00227727" w14:paraId="672F9A07" w14:textId="77777777" w:rsidTr="00E772F3">
        <w:trPr>
          <w:trHeight w:val="288"/>
        </w:trPr>
        <w:tc>
          <w:tcPr>
            <w:tcW w:w="1170" w:type="pct"/>
            <w:shd w:val="clear" w:color="auto" w:fill="auto"/>
            <w:noWrap/>
            <w:hideMark/>
          </w:tcPr>
          <w:p w14:paraId="3DE9CC4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JSA5</w:t>
            </w:r>
          </w:p>
        </w:tc>
        <w:tc>
          <w:tcPr>
            <w:tcW w:w="670" w:type="pct"/>
            <w:shd w:val="clear" w:color="auto" w:fill="auto"/>
            <w:noWrap/>
            <w:hideMark/>
          </w:tcPr>
          <w:p w14:paraId="4D4EB16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0.750</w:t>
            </w:r>
          </w:p>
        </w:tc>
        <w:tc>
          <w:tcPr>
            <w:tcW w:w="669" w:type="pct"/>
            <w:shd w:val="clear" w:color="auto" w:fill="auto"/>
            <w:noWrap/>
            <w:hideMark/>
          </w:tcPr>
          <w:p w14:paraId="5EF7E48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0.625</w:t>
            </w:r>
          </w:p>
        </w:tc>
        <w:tc>
          <w:tcPr>
            <w:tcW w:w="753" w:type="pct"/>
            <w:shd w:val="clear" w:color="auto" w:fill="auto"/>
            <w:noWrap/>
            <w:hideMark/>
          </w:tcPr>
          <w:p w14:paraId="6706E66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0.595</w:t>
            </w:r>
          </w:p>
        </w:tc>
        <w:tc>
          <w:tcPr>
            <w:tcW w:w="711" w:type="pct"/>
            <w:shd w:val="clear" w:color="auto" w:fill="auto"/>
            <w:noWrap/>
            <w:hideMark/>
          </w:tcPr>
          <w:p w14:paraId="0EC21C0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0.822</w:t>
            </w:r>
          </w:p>
        </w:tc>
        <w:tc>
          <w:tcPr>
            <w:tcW w:w="418" w:type="pct"/>
            <w:shd w:val="clear" w:color="auto" w:fill="auto"/>
            <w:noWrap/>
            <w:hideMark/>
          </w:tcPr>
          <w:p w14:paraId="47BA99E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0.678</w:t>
            </w:r>
          </w:p>
        </w:tc>
        <w:tc>
          <w:tcPr>
            <w:tcW w:w="609" w:type="pct"/>
            <w:shd w:val="clear" w:color="auto" w:fill="auto"/>
            <w:noWrap/>
            <w:hideMark/>
          </w:tcPr>
          <w:p w14:paraId="5CB0015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0.666</w:t>
            </w:r>
          </w:p>
        </w:tc>
      </w:tr>
      <w:tr w:rsidR="00227727" w:rsidRPr="00227727" w14:paraId="616FCF37" w14:textId="77777777" w:rsidTr="00E772F3">
        <w:trPr>
          <w:trHeight w:val="288"/>
        </w:trPr>
        <w:tc>
          <w:tcPr>
            <w:tcW w:w="1170" w:type="pct"/>
            <w:shd w:val="clear" w:color="auto" w:fill="auto"/>
            <w:noWrap/>
            <w:hideMark/>
          </w:tcPr>
          <w:p w14:paraId="2834E65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JSA6</w:t>
            </w:r>
          </w:p>
        </w:tc>
        <w:tc>
          <w:tcPr>
            <w:tcW w:w="670" w:type="pct"/>
            <w:shd w:val="clear" w:color="auto" w:fill="auto"/>
            <w:noWrap/>
            <w:hideMark/>
          </w:tcPr>
          <w:p w14:paraId="1074A13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0.716</w:t>
            </w:r>
          </w:p>
        </w:tc>
        <w:tc>
          <w:tcPr>
            <w:tcW w:w="669" w:type="pct"/>
            <w:shd w:val="clear" w:color="auto" w:fill="auto"/>
            <w:noWrap/>
            <w:hideMark/>
          </w:tcPr>
          <w:p w14:paraId="6559BB7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0.553</w:t>
            </w:r>
          </w:p>
        </w:tc>
        <w:tc>
          <w:tcPr>
            <w:tcW w:w="753" w:type="pct"/>
            <w:shd w:val="clear" w:color="auto" w:fill="auto"/>
            <w:noWrap/>
            <w:hideMark/>
          </w:tcPr>
          <w:p w14:paraId="3E7A4B3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0.615</w:t>
            </w:r>
          </w:p>
        </w:tc>
        <w:tc>
          <w:tcPr>
            <w:tcW w:w="711" w:type="pct"/>
            <w:shd w:val="clear" w:color="auto" w:fill="auto"/>
            <w:noWrap/>
            <w:hideMark/>
          </w:tcPr>
          <w:p w14:paraId="74A4DF5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0.790</w:t>
            </w:r>
          </w:p>
        </w:tc>
        <w:tc>
          <w:tcPr>
            <w:tcW w:w="418" w:type="pct"/>
            <w:shd w:val="clear" w:color="auto" w:fill="auto"/>
            <w:noWrap/>
            <w:hideMark/>
          </w:tcPr>
          <w:p w14:paraId="7418DC5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0.707</w:t>
            </w:r>
          </w:p>
        </w:tc>
        <w:tc>
          <w:tcPr>
            <w:tcW w:w="609" w:type="pct"/>
            <w:shd w:val="clear" w:color="auto" w:fill="auto"/>
            <w:noWrap/>
            <w:hideMark/>
          </w:tcPr>
          <w:p w14:paraId="78C9668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0.620</w:t>
            </w:r>
          </w:p>
        </w:tc>
      </w:tr>
      <w:tr w:rsidR="00227727" w:rsidRPr="00227727" w14:paraId="14E71261" w14:textId="77777777" w:rsidTr="00E772F3">
        <w:trPr>
          <w:trHeight w:val="288"/>
        </w:trPr>
        <w:tc>
          <w:tcPr>
            <w:tcW w:w="1170" w:type="pct"/>
            <w:shd w:val="clear" w:color="auto" w:fill="auto"/>
            <w:noWrap/>
            <w:hideMark/>
          </w:tcPr>
          <w:p w14:paraId="196D606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PW1</w:t>
            </w:r>
          </w:p>
        </w:tc>
        <w:tc>
          <w:tcPr>
            <w:tcW w:w="670" w:type="pct"/>
            <w:shd w:val="clear" w:color="auto" w:fill="auto"/>
            <w:noWrap/>
            <w:hideMark/>
          </w:tcPr>
          <w:p w14:paraId="141806B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0.801</w:t>
            </w:r>
          </w:p>
        </w:tc>
        <w:tc>
          <w:tcPr>
            <w:tcW w:w="669" w:type="pct"/>
            <w:shd w:val="clear" w:color="auto" w:fill="auto"/>
            <w:noWrap/>
            <w:hideMark/>
          </w:tcPr>
          <w:p w14:paraId="78C6764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0.610</w:t>
            </w:r>
          </w:p>
        </w:tc>
        <w:tc>
          <w:tcPr>
            <w:tcW w:w="753" w:type="pct"/>
            <w:shd w:val="clear" w:color="auto" w:fill="auto"/>
            <w:noWrap/>
            <w:hideMark/>
          </w:tcPr>
          <w:p w14:paraId="70B3FC1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0.636</w:t>
            </w:r>
          </w:p>
        </w:tc>
        <w:tc>
          <w:tcPr>
            <w:tcW w:w="711" w:type="pct"/>
            <w:shd w:val="clear" w:color="auto" w:fill="auto"/>
            <w:noWrap/>
            <w:hideMark/>
          </w:tcPr>
          <w:p w14:paraId="43DB2C6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0.750</w:t>
            </w:r>
          </w:p>
        </w:tc>
        <w:tc>
          <w:tcPr>
            <w:tcW w:w="418" w:type="pct"/>
            <w:shd w:val="clear" w:color="auto" w:fill="auto"/>
            <w:noWrap/>
            <w:hideMark/>
          </w:tcPr>
          <w:p w14:paraId="4A43B68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0.734</w:t>
            </w:r>
          </w:p>
        </w:tc>
        <w:tc>
          <w:tcPr>
            <w:tcW w:w="609" w:type="pct"/>
            <w:shd w:val="clear" w:color="auto" w:fill="auto"/>
            <w:noWrap/>
            <w:hideMark/>
          </w:tcPr>
          <w:p w14:paraId="22BF031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0.657</w:t>
            </w:r>
          </w:p>
        </w:tc>
      </w:tr>
      <w:tr w:rsidR="00227727" w:rsidRPr="00227727" w14:paraId="53C174AC" w14:textId="77777777" w:rsidTr="00E772F3">
        <w:trPr>
          <w:trHeight w:val="288"/>
        </w:trPr>
        <w:tc>
          <w:tcPr>
            <w:tcW w:w="1170" w:type="pct"/>
            <w:shd w:val="clear" w:color="auto" w:fill="auto"/>
            <w:noWrap/>
            <w:hideMark/>
          </w:tcPr>
          <w:p w14:paraId="7FB8D87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PW2</w:t>
            </w:r>
          </w:p>
        </w:tc>
        <w:tc>
          <w:tcPr>
            <w:tcW w:w="670" w:type="pct"/>
            <w:shd w:val="clear" w:color="auto" w:fill="auto"/>
            <w:noWrap/>
            <w:hideMark/>
          </w:tcPr>
          <w:p w14:paraId="71556D8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0.800</w:t>
            </w:r>
          </w:p>
        </w:tc>
        <w:tc>
          <w:tcPr>
            <w:tcW w:w="669" w:type="pct"/>
            <w:shd w:val="clear" w:color="auto" w:fill="auto"/>
            <w:noWrap/>
            <w:hideMark/>
          </w:tcPr>
          <w:p w14:paraId="7556B5B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0.585</w:t>
            </w:r>
          </w:p>
        </w:tc>
        <w:tc>
          <w:tcPr>
            <w:tcW w:w="753" w:type="pct"/>
            <w:shd w:val="clear" w:color="auto" w:fill="auto"/>
            <w:noWrap/>
            <w:hideMark/>
          </w:tcPr>
          <w:p w14:paraId="1A86352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0.642</w:t>
            </w:r>
          </w:p>
        </w:tc>
        <w:tc>
          <w:tcPr>
            <w:tcW w:w="711" w:type="pct"/>
            <w:shd w:val="clear" w:color="auto" w:fill="auto"/>
            <w:noWrap/>
            <w:hideMark/>
          </w:tcPr>
          <w:p w14:paraId="29B2D76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0.677</w:t>
            </w:r>
          </w:p>
        </w:tc>
        <w:tc>
          <w:tcPr>
            <w:tcW w:w="418" w:type="pct"/>
            <w:shd w:val="clear" w:color="auto" w:fill="auto"/>
            <w:noWrap/>
            <w:hideMark/>
          </w:tcPr>
          <w:p w14:paraId="4CFDDB3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0.699</w:t>
            </w:r>
          </w:p>
        </w:tc>
        <w:tc>
          <w:tcPr>
            <w:tcW w:w="609" w:type="pct"/>
            <w:shd w:val="clear" w:color="auto" w:fill="auto"/>
            <w:noWrap/>
            <w:hideMark/>
          </w:tcPr>
          <w:p w14:paraId="41CF963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0.650</w:t>
            </w:r>
          </w:p>
        </w:tc>
      </w:tr>
      <w:tr w:rsidR="00227727" w:rsidRPr="00227727" w14:paraId="0D7A27AD" w14:textId="77777777" w:rsidTr="00E772F3">
        <w:trPr>
          <w:trHeight w:val="288"/>
        </w:trPr>
        <w:tc>
          <w:tcPr>
            <w:tcW w:w="1170" w:type="pct"/>
            <w:shd w:val="clear" w:color="auto" w:fill="auto"/>
            <w:noWrap/>
            <w:hideMark/>
          </w:tcPr>
          <w:p w14:paraId="3FA5BE0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PW3</w:t>
            </w:r>
          </w:p>
        </w:tc>
        <w:tc>
          <w:tcPr>
            <w:tcW w:w="670" w:type="pct"/>
            <w:shd w:val="clear" w:color="auto" w:fill="auto"/>
            <w:noWrap/>
            <w:hideMark/>
          </w:tcPr>
          <w:p w14:paraId="547800B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0.822</w:t>
            </w:r>
          </w:p>
        </w:tc>
        <w:tc>
          <w:tcPr>
            <w:tcW w:w="669" w:type="pct"/>
            <w:shd w:val="clear" w:color="auto" w:fill="auto"/>
            <w:noWrap/>
            <w:hideMark/>
          </w:tcPr>
          <w:p w14:paraId="1ABF3A3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0.632</w:t>
            </w:r>
          </w:p>
        </w:tc>
        <w:tc>
          <w:tcPr>
            <w:tcW w:w="753" w:type="pct"/>
            <w:shd w:val="clear" w:color="auto" w:fill="auto"/>
            <w:noWrap/>
            <w:hideMark/>
          </w:tcPr>
          <w:p w14:paraId="3529983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0.675</w:t>
            </w:r>
          </w:p>
        </w:tc>
        <w:tc>
          <w:tcPr>
            <w:tcW w:w="711" w:type="pct"/>
            <w:shd w:val="clear" w:color="auto" w:fill="auto"/>
            <w:noWrap/>
            <w:hideMark/>
          </w:tcPr>
          <w:p w14:paraId="17C0507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0.701</w:t>
            </w:r>
          </w:p>
        </w:tc>
        <w:tc>
          <w:tcPr>
            <w:tcW w:w="418" w:type="pct"/>
            <w:shd w:val="clear" w:color="auto" w:fill="auto"/>
            <w:noWrap/>
            <w:hideMark/>
          </w:tcPr>
          <w:p w14:paraId="47DBB5B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0.707</w:t>
            </w:r>
          </w:p>
        </w:tc>
        <w:tc>
          <w:tcPr>
            <w:tcW w:w="609" w:type="pct"/>
            <w:shd w:val="clear" w:color="auto" w:fill="auto"/>
            <w:noWrap/>
            <w:hideMark/>
          </w:tcPr>
          <w:p w14:paraId="52D6976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0.658</w:t>
            </w:r>
          </w:p>
        </w:tc>
      </w:tr>
      <w:tr w:rsidR="00227727" w:rsidRPr="00227727" w14:paraId="18C04974" w14:textId="77777777" w:rsidTr="00E772F3">
        <w:trPr>
          <w:trHeight w:val="288"/>
        </w:trPr>
        <w:tc>
          <w:tcPr>
            <w:tcW w:w="1170" w:type="pct"/>
            <w:shd w:val="clear" w:color="auto" w:fill="auto"/>
            <w:noWrap/>
            <w:hideMark/>
          </w:tcPr>
          <w:p w14:paraId="2250DD9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PW4</w:t>
            </w:r>
          </w:p>
        </w:tc>
        <w:tc>
          <w:tcPr>
            <w:tcW w:w="670" w:type="pct"/>
            <w:shd w:val="clear" w:color="auto" w:fill="auto"/>
            <w:noWrap/>
            <w:hideMark/>
          </w:tcPr>
          <w:p w14:paraId="1352614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0.828</w:t>
            </w:r>
          </w:p>
        </w:tc>
        <w:tc>
          <w:tcPr>
            <w:tcW w:w="669" w:type="pct"/>
            <w:shd w:val="clear" w:color="auto" w:fill="auto"/>
            <w:noWrap/>
            <w:hideMark/>
          </w:tcPr>
          <w:p w14:paraId="5A6A655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0.628</w:t>
            </w:r>
          </w:p>
        </w:tc>
        <w:tc>
          <w:tcPr>
            <w:tcW w:w="753" w:type="pct"/>
            <w:shd w:val="clear" w:color="auto" w:fill="auto"/>
            <w:noWrap/>
            <w:hideMark/>
          </w:tcPr>
          <w:p w14:paraId="3EBF7DB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0.661</w:t>
            </w:r>
          </w:p>
        </w:tc>
        <w:tc>
          <w:tcPr>
            <w:tcW w:w="711" w:type="pct"/>
            <w:shd w:val="clear" w:color="auto" w:fill="auto"/>
            <w:noWrap/>
            <w:hideMark/>
          </w:tcPr>
          <w:p w14:paraId="5345F87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0.720</w:t>
            </w:r>
          </w:p>
        </w:tc>
        <w:tc>
          <w:tcPr>
            <w:tcW w:w="418" w:type="pct"/>
            <w:shd w:val="clear" w:color="auto" w:fill="auto"/>
            <w:noWrap/>
            <w:hideMark/>
          </w:tcPr>
          <w:p w14:paraId="3E5AEA0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0.698</w:t>
            </w:r>
          </w:p>
        </w:tc>
        <w:tc>
          <w:tcPr>
            <w:tcW w:w="609" w:type="pct"/>
            <w:shd w:val="clear" w:color="auto" w:fill="auto"/>
            <w:noWrap/>
            <w:hideMark/>
          </w:tcPr>
          <w:p w14:paraId="40D0790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0.621</w:t>
            </w:r>
          </w:p>
        </w:tc>
      </w:tr>
      <w:tr w:rsidR="00227727" w:rsidRPr="00227727" w14:paraId="4FF31211" w14:textId="77777777" w:rsidTr="00E772F3">
        <w:trPr>
          <w:trHeight w:val="288"/>
        </w:trPr>
        <w:tc>
          <w:tcPr>
            <w:tcW w:w="1170" w:type="pct"/>
            <w:shd w:val="clear" w:color="auto" w:fill="auto"/>
            <w:noWrap/>
            <w:hideMark/>
          </w:tcPr>
          <w:p w14:paraId="23CEB24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PW5</w:t>
            </w:r>
          </w:p>
        </w:tc>
        <w:tc>
          <w:tcPr>
            <w:tcW w:w="670" w:type="pct"/>
            <w:shd w:val="clear" w:color="auto" w:fill="auto"/>
            <w:noWrap/>
            <w:hideMark/>
          </w:tcPr>
          <w:p w14:paraId="4B9AC83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0.856</w:t>
            </w:r>
          </w:p>
        </w:tc>
        <w:tc>
          <w:tcPr>
            <w:tcW w:w="669" w:type="pct"/>
            <w:shd w:val="clear" w:color="auto" w:fill="auto"/>
            <w:noWrap/>
            <w:hideMark/>
          </w:tcPr>
          <w:p w14:paraId="0BFF4E6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0.669</w:t>
            </w:r>
          </w:p>
        </w:tc>
        <w:tc>
          <w:tcPr>
            <w:tcW w:w="753" w:type="pct"/>
            <w:shd w:val="clear" w:color="auto" w:fill="auto"/>
            <w:noWrap/>
            <w:hideMark/>
          </w:tcPr>
          <w:p w14:paraId="5C6EB0C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0.647</w:t>
            </w:r>
          </w:p>
        </w:tc>
        <w:tc>
          <w:tcPr>
            <w:tcW w:w="711" w:type="pct"/>
            <w:shd w:val="clear" w:color="auto" w:fill="auto"/>
            <w:noWrap/>
            <w:hideMark/>
          </w:tcPr>
          <w:p w14:paraId="1D7FF44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0.812</w:t>
            </w:r>
          </w:p>
        </w:tc>
        <w:tc>
          <w:tcPr>
            <w:tcW w:w="418" w:type="pct"/>
            <w:shd w:val="clear" w:color="auto" w:fill="auto"/>
            <w:noWrap/>
            <w:hideMark/>
          </w:tcPr>
          <w:p w14:paraId="50CBB7B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0.748</w:t>
            </w:r>
          </w:p>
        </w:tc>
        <w:tc>
          <w:tcPr>
            <w:tcW w:w="609" w:type="pct"/>
            <w:shd w:val="clear" w:color="auto" w:fill="auto"/>
            <w:noWrap/>
            <w:hideMark/>
          </w:tcPr>
          <w:p w14:paraId="3253B27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0.725</w:t>
            </w:r>
          </w:p>
        </w:tc>
      </w:tr>
      <w:tr w:rsidR="00227727" w:rsidRPr="00227727" w14:paraId="4DD24395" w14:textId="77777777" w:rsidTr="00E772F3">
        <w:trPr>
          <w:trHeight w:val="288"/>
        </w:trPr>
        <w:tc>
          <w:tcPr>
            <w:tcW w:w="1170" w:type="pct"/>
            <w:shd w:val="clear" w:color="auto" w:fill="auto"/>
            <w:noWrap/>
            <w:hideMark/>
          </w:tcPr>
          <w:p w14:paraId="3B08F9E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PW6</w:t>
            </w:r>
          </w:p>
        </w:tc>
        <w:tc>
          <w:tcPr>
            <w:tcW w:w="670" w:type="pct"/>
            <w:shd w:val="clear" w:color="auto" w:fill="auto"/>
            <w:noWrap/>
            <w:hideMark/>
          </w:tcPr>
          <w:p w14:paraId="62680A0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0.861</w:t>
            </w:r>
          </w:p>
        </w:tc>
        <w:tc>
          <w:tcPr>
            <w:tcW w:w="669" w:type="pct"/>
            <w:shd w:val="clear" w:color="auto" w:fill="auto"/>
            <w:noWrap/>
            <w:hideMark/>
          </w:tcPr>
          <w:p w14:paraId="4C568D9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0.679</w:t>
            </w:r>
          </w:p>
        </w:tc>
        <w:tc>
          <w:tcPr>
            <w:tcW w:w="753" w:type="pct"/>
            <w:shd w:val="clear" w:color="auto" w:fill="auto"/>
            <w:noWrap/>
            <w:hideMark/>
          </w:tcPr>
          <w:p w14:paraId="2F82667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0.684</w:t>
            </w:r>
          </w:p>
        </w:tc>
        <w:tc>
          <w:tcPr>
            <w:tcW w:w="711" w:type="pct"/>
            <w:shd w:val="clear" w:color="auto" w:fill="auto"/>
            <w:noWrap/>
            <w:hideMark/>
          </w:tcPr>
          <w:p w14:paraId="38A0EAA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0.831</w:t>
            </w:r>
          </w:p>
        </w:tc>
        <w:tc>
          <w:tcPr>
            <w:tcW w:w="418" w:type="pct"/>
            <w:shd w:val="clear" w:color="auto" w:fill="auto"/>
            <w:noWrap/>
            <w:hideMark/>
          </w:tcPr>
          <w:p w14:paraId="1057985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0.793</w:t>
            </w:r>
          </w:p>
        </w:tc>
        <w:tc>
          <w:tcPr>
            <w:tcW w:w="609" w:type="pct"/>
            <w:shd w:val="clear" w:color="auto" w:fill="auto"/>
            <w:noWrap/>
            <w:hideMark/>
          </w:tcPr>
          <w:p w14:paraId="0B7CCD0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0.731</w:t>
            </w:r>
          </w:p>
        </w:tc>
      </w:tr>
      <w:tr w:rsidR="00227727" w:rsidRPr="00227727" w14:paraId="068AD3F5" w14:textId="77777777" w:rsidTr="00E772F3">
        <w:trPr>
          <w:trHeight w:val="288"/>
        </w:trPr>
        <w:tc>
          <w:tcPr>
            <w:tcW w:w="1170" w:type="pct"/>
            <w:shd w:val="clear" w:color="auto" w:fill="auto"/>
            <w:noWrap/>
            <w:hideMark/>
          </w:tcPr>
          <w:p w14:paraId="1677944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PW7</w:t>
            </w:r>
          </w:p>
        </w:tc>
        <w:tc>
          <w:tcPr>
            <w:tcW w:w="670" w:type="pct"/>
            <w:shd w:val="clear" w:color="auto" w:fill="auto"/>
            <w:noWrap/>
            <w:hideMark/>
          </w:tcPr>
          <w:p w14:paraId="047F556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0.823</w:t>
            </w:r>
          </w:p>
        </w:tc>
        <w:tc>
          <w:tcPr>
            <w:tcW w:w="669" w:type="pct"/>
            <w:shd w:val="clear" w:color="auto" w:fill="auto"/>
            <w:noWrap/>
            <w:hideMark/>
          </w:tcPr>
          <w:p w14:paraId="23FB6D4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0.628</w:t>
            </w:r>
          </w:p>
        </w:tc>
        <w:tc>
          <w:tcPr>
            <w:tcW w:w="753" w:type="pct"/>
            <w:shd w:val="clear" w:color="auto" w:fill="auto"/>
            <w:noWrap/>
            <w:hideMark/>
          </w:tcPr>
          <w:p w14:paraId="7F9C7DC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0.666</w:t>
            </w:r>
          </w:p>
        </w:tc>
        <w:tc>
          <w:tcPr>
            <w:tcW w:w="711" w:type="pct"/>
            <w:shd w:val="clear" w:color="auto" w:fill="auto"/>
            <w:noWrap/>
            <w:hideMark/>
          </w:tcPr>
          <w:p w14:paraId="3193447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0.787</w:t>
            </w:r>
          </w:p>
        </w:tc>
        <w:tc>
          <w:tcPr>
            <w:tcW w:w="418" w:type="pct"/>
            <w:shd w:val="clear" w:color="auto" w:fill="auto"/>
            <w:noWrap/>
            <w:hideMark/>
          </w:tcPr>
          <w:p w14:paraId="79B57F9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0.760</w:t>
            </w:r>
          </w:p>
        </w:tc>
        <w:tc>
          <w:tcPr>
            <w:tcW w:w="609" w:type="pct"/>
            <w:shd w:val="clear" w:color="auto" w:fill="auto"/>
            <w:noWrap/>
            <w:hideMark/>
          </w:tcPr>
          <w:p w14:paraId="42EC83D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0.741</w:t>
            </w:r>
          </w:p>
        </w:tc>
      </w:tr>
      <w:tr w:rsidR="00227727" w:rsidRPr="00227727" w14:paraId="34387493" w14:textId="77777777" w:rsidTr="00E772F3">
        <w:trPr>
          <w:trHeight w:val="288"/>
        </w:trPr>
        <w:tc>
          <w:tcPr>
            <w:tcW w:w="1170" w:type="pct"/>
            <w:shd w:val="clear" w:color="auto" w:fill="auto"/>
            <w:noWrap/>
            <w:hideMark/>
          </w:tcPr>
          <w:p w14:paraId="16F2135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SW1</w:t>
            </w:r>
          </w:p>
        </w:tc>
        <w:tc>
          <w:tcPr>
            <w:tcW w:w="670" w:type="pct"/>
            <w:shd w:val="clear" w:color="auto" w:fill="auto"/>
            <w:noWrap/>
            <w:hideMark/>
          </w:tcPr>
          <w:p w14:paraId="5FDD4A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0.624</w:t>
            </w:r>
          </w:p>
        </w:tc>
        <w:tc>
          <w:tcPr>
            <w:tcW w:w="669" w:type="pct"/>
            <w:shd w:val="clear" w:color="auto" w:fill="auto"/>
            <w:noWrap/>
            <w:hideMark/>
          </w:tcPr>
          <w:p w14:paraId="47716CB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0.581</w:t>
            </w:r>
          </w:p>
        </w:tc>
        <w:tc>
          <w:tcPr>
            <w:tcW w:w="753" w:type="pct"/>
            <w:shd w:val="clear" w:color="auto" w:fill="auto"/>
            <w:noWrap/>
            <w:hideMark/>
          </w:tcPr>
          <w:p w14:paraId="6564801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0.512</w:t>
            </w:r>
          </w:p>
        </w:tc>
        <w:tc>
          <w:tcPr>
            <w:tcW w:w="711" w:type="pct"/>
            <w:shd w:val="clear" w:color="auto" w:fill="auto"/>
            <w:noWrap/>
            <w:hideMark/>
          </w:tcPr>
          <w:p w14:paraId="5B92195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0.601</w:t>
            </w:r>
          </w:p>
        </w:tc>
        <w:tc>
          <w:tcPr>
            <w:tcW w:w="418" w:type="pct"/>
            <w:shd w:val="clear" w:color="auto" w:fill="auto"/>
            <w:noWrap/>
            <w:hideMark/>
          </w:tcPr>
          <w:p w14:paraId="0EE3008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0.625</w:t>
            </w:r>
          </w:p>
        </w:tc>
        <w:tc>
          <w:tcPr>
            <w:tcW w:w="609" w:type="pct"/>
            <w:shd w:val="clear" w:color="auto" w:fill="auto"/>
            <w:noWrap/>
            <w:hideMark/>
          </w:tcPr>
          <w:p w14:paraId="359871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0.757</w:t>
            </w:r>
          </w:p>
        </w:tc>
      </w:tr>
      <w:tr w:rsidR="00227727" w:rsidRPr="00227727" w14:paraId="3D4F372A" w14:textId="77777777" w:rsidTr="00E772F3">
        <w:trPr>
          <w:trHeight w:val="288"/>
        </w:trPr>
        <w:tc>
          <w:tcPr>
            <w:tcW w:w="1170" w:type="pct"/>
            <w:shd w:val="clear" w:color="auto" w:fill="auto"/>
            <w:noWrap/>
            <w:hideMark/>
          </w:tcPr>
          <w:p w14:paraId="74DCFBB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SW2</w:t>
            </w:r>
          </w:p>
        </w:tc>
        <w:tc>
          <w:tcPr>
            <w:tcW w:w="670" w:type="pct"/>
            <w:shd w:val="clear" w:color="auto" w:fill="auto"/>
            <w:noWrap/>
            <w:hideMark/>
          </w:tcPr>
          <w:p w14:paraId="5CB1DD9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0.607</w:t>
            </w:r>
          </w:p>
        </w:tc>
        <w:tc>
          <w:tcPr>
            <w:tcW w:w="669" w:type="pct"/>
            <w:shd w:val="clear" w:color="auto" w:fill="auto"/>
            <w:noWrap/>
            <w:hideMark/>
          </w:tcPr>
          <w:p w14:paraId="2E8FE88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0.580</w:t>
            </w:r>
          </w:p>
        </w:tc>
        <w:tc>
          <w:tcPr>
            <w:tcW w:w="753" w:type="pct"/>
            <w:shd w:val="clear" w:color="auto" w:fill="auto"/>
            <w:noWrap/>
            <w:hideMark/>
          </w:tcPr>
          <w:p w14:paraId="61D7DBE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0.521</w:t>
            </w:r>
          </w:p>
        </w:tc>
        <w:tc>
          <w:tcPr>
            <w:tcW w:w="711" w:type="pct"/>
            <w:shd w:val="clear" w:color="auto" w:fill="auto"/>
            <w:noWrap/>
            <w:hideMark/>
          </w:tcPr>
          <w:p w14:paraId="311D1A5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0.578</w:t>
            </w:r>
          </w:p>
        </w:tc>
        <w:tc>
          <w:tcPr>
            <w:tcW w:w="418" w:type="pct"/>
            <w:shd w:val="clear" w:color="auto" w:fill="auto"/>
            <w:noWrap/>
            <w:hideMark/>
          </w:tcPr>
          <w:p w14:paraId="4488767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0.598</w:t>
            </w:r>
          </w:p>
        </w:tc>
        <w:tc>
          <w:tcPr>
            <w:tcW w:w="609" w:type="pct"/>
            <w:shd w:val="clear" w:color="auto" w:fill="auto"/>
            <w:noWrap/>
            <w:hideMark/>
          </w:tcPr>
          <w:p w14:paraId="42366F0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0.746</w:t>
            </w:r>
          </w:p>
        </w:tc>
      </w:tr>
      <w:tr w:rsidR="00227727" w:rsidRPr="00227727" w14:paraId="296EB7AC" w14:textId="77777777" w:rsidTr="00E772F3">
        <w:trPr>
          <w:trHeight w:val="288"/>
        </w:trPr>
        <w:tc>
          <w:tcPr>
            <w:tcW w:w="1170" w:type="pct"/>
            <w:shd w:val="clear" w:color="auto" w:fill="auto"/>
            <w:noWrap/>
            <w:hideMark/>
          </w:tcPr>
          <w:p w14:paraId="2304204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lastRenderedPageBreak/>
              <w:t>SW3</w:t>
            </w:r>
          </w:p>
        </w:tc>
        <w:tc>
          <w:tcPr>
            <w:tcW w:w="670" w:type="pct"/>
            <w:shd w:val="clear" w:color="auto" w:fill="auto"/>
            <w:noWrap/>
            <w:hideMark/>
          </w:tcPr>
          <w:p w14:paraId="7055F07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0.606</w:t>
            </w:r>
          </w:p>
        </w:tc>
        <w:tc>
          <w:tcPr>
            <w:tcW w:w="669" w:type="pct"/>
            <w:shd w:val="clear" w:color="auto" w:fill="auto"/>
            <w:noWrap/>
            <w:hideMark/>
          </w:tcPr>
          <w:p w14:paraId="2BF8094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0.526</w:t>
            </w:r>
          </w:p>
        </w:tc>
        <w:tc>
          <w:tcPr>
            <w:tcW w:w="753" w:type="pct"/>
            <w:shd w:val="clear" w:color="auto" w:fill="auto"/>
            <w:noWrap/>
            <w:hideMark/>
          </w:tcPr>
          <w:p w14:paraId="6589049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0.530</w:t>
            </w:r>
          </w:p>
        </w:tc>
        <w:tc>
          <w:tcPr>
            <w:tcW w:w="711" w:type="pct"/>
            <w:shd w:val="clear" w:color="auto" w:fill="auto"/>
            <w:noWrap/>
            <w:hideMark/>
          </w:tcPr>
          <w:p w14:paraId="548120B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0.585</w:t>
            </w:r>
          </w:p>
        </w:tc>
        <w:tc>
          <w:tcPr>
            <w:tcW w:w="418" w:type="pct"/>
            <w:shd w:val="clear" w:color="auto" w:fill="auto"/>
            <w:noWrap/>
            <w:hideMark/>
          </w:tcPr>
          <w:p w14:paraId="78D0F7D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0.592</w:t>
            </w:r>
          </w:p>
        </w:tc>
        <w:tc>
          <w:tcPr>
            <w:tcW w:w="609" w:type="pct"/>
            <w:shd w:val="clear" w:color="auto" w:fill="auto"/>
            <w:noWrap/>
            <w:hideMark/>
          </w:tcPr>
          <w:p w14:paraId="03C14B3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0.741</w:t>
            </w:r>
          </w:p>
        </w:tc>
      </w:tr>
      <w:tr w:rsidR="00227727" w:rsidRPr="00227727" w14:paraId="5D15223B" w14:textId="77777777" w:rsidTr="00E772F3">
        <w:trPr>
          <w:trHeight w:val="288"/>
        </w:trPr>
        <w:tc>
          <w:tcPr>
            <w:tcW w:w="1170" w:type="pct"/>
            <w:shd w:val="clear" w:color="auto" w:fill="auto"/>
            <w:noWrap/>
            <w:hideMark/>
          </w:tcPr>
          <w:p w14:paraId="17891AA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SW4</w:t>
            </w:r>
          </w:p>
        </w:tc>
        <w:tc>
          <w:tcPr>
            <w:tcW w:w="670" w:type="pct"/>
            <w:shd w:val="clear" w:color="auto" w:fill="auto"/>
            <w:noWrap/>
            <w:hideMark/>
          </w:tcPr>
          <w:p w14:paraId="01D031F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0.715</w:t>
            </w:r>
          </w:p>
        </w:tc>
        <w:tc>
          <w:tcPr>
            <w:tcW w:w="669" w:type="pct"/>
            <w:shd w:val="clear" w:color="auto" w:fill="auto"/>
            <w:noWrap/>
            <w:hideMark/>
          </w:tcPr>
          <w:p w14:paraId="2B1A8F0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0.636</w:t>
            </w:r>
          </w:p>
        </w:tc>
        <w:tc>
          <w:tcPr>
            <w:tcW w:w="753" w:type="pct"/>
            <w:shd w:val="clear" w:color="auto" w:fill="auto"/>
            <w:noWrap/>
            <w:hideMark/>
          </w:tcPr>
          <w:p w14:paraId="34EDCA6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0.610</w:t>
            </w:r>
          </w:p>
        </w:tc>
        <w:tc>
          <w:tcPr>
            <w:tcW w:w="711" w:type="pct"/>
            <w:shd w:val="clear" w:color="auto" w:fill="auto"/>
            <w:noWrap/>
            <w:hideMark/>
          </w:tcPr>
          <w:p w14:paraId="217A872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0.695</w:t>
            </w:r>
          </w:p>
        </w:tc>
        <w:tc>
          <w:tcPr>
            <w:tcW w:w="418" w:type="pct"/>
            <w:shd w:val="clear" w:color="auto" w:fill="auto"/>
            <w:noWrap/>
            <w:hideMark/>
          </w:tcPr>
          <w:p w14:paraId="749F52F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0.699</w:t>
            </w:r>
          </w:p>
        </w:tc>
        <w:tc>
          <w:tcPr>
            <w:tcW w:w="609" w:type="pct"/>
            <w:shd w:val="clear" w:color="auto" w:fill="auto"/>
            <w:noWrap/>
            <w:hideMark/>
          </w:tcPr>
          <w:p w14:paraId="1F3F5E6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0.748</w:t>
            </w:r>
          </w:p>
        </w:tc>
      </w:tr>
      <w:tr w:rsidR="00227727" w:rsidRPr="00227727" w14:paraId="6898F4F7" w14:textId="77777777" w:rsidTr="00E772F3">
        <w:trPr>
          <w:trHeight w:val="288"/>
        </w:trPr>
        <w:tc>
          <w:tcPr>
            <w:tcW w:w="1170" w:type="pct"/>
            <w:shd w:val="clear" w:color="auto" w:fill="auto"/>
            <w:noWrap/>
            <w:hideMark/>
          </w:tcPr>
          <w:p w14:paraId="0ECF0D9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SW5</w:t>
            </w:r>
          </w:p>
        </w:tc>
        <w:tc>
          <w:tcPr>
            <w:tcW w:w="670" w:type="pct"/>
            <w:shd w:val="clear" w:color="auto" w:fill="auto"/>
            <w:noWrap/>
            <w:hideMark/>
          </w:tcPr>
          <w:p w14:paraId="38496A1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0.557</w:t>
            </w:r>
          </w:p>
        </w:tc>
        <w:tc>
          <w:tcPr>
            <w:tcW w:w="669" w:type="pct"/>
            <w:shd w:val="clear" w:color="auto" w:fill="auto"/>
            <w:noWrap/>
            <w:hideMark/>
          </w:tcPr>
          <w:p w14:paraId="7377E77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0.462</w:t>
            </w:r>
          </w:p>
        </w:tc>
        <w:tc>
          <w:tcPr>
            <w:tcW w:w="753" w:type="pct"/>
            <w:shd w:val="clear" w:color="auto" w:fill="auto"/>
            <w:noWrap/>
            <w:hideMark/>
          </w:tcPr>
          <w:p w14:paraId="59F6DA4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0.639</w:t>
            </w:r>
          </w:p>
        </w:tc>
        <w:tc>
          <w:tcPr>
            <w:tcW w:w="711" w:type="pct"/>
            <w:shd w:val="clear" w:color="auto" w:fill="auto"/>
            <w:noWrap/>
            <w:hideMark/>
          </w:tcPr>
          <w:p w14:paraId="6E1FC15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0.601</w:t>
            </w:r>
          </w:p>
        </w:tc>
        <w:tc>
          <w:tcPr>
            <w:tcW w:w="418" w:type="pct"/>
            <w:shd w:val="clear" w:color="auto" w:fill="auto"/>
            <w:noWrap/>
            <w:hideMark/>
          </w:tcPr>
          <w:p w14:paraId="5349C6C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0.556</w:t>
            </w:r>
          </w:p>
        </w:tc>
        <w:tc>
          <w:tcPr>
            <w:tcW w:w="609" w:type="pct"/>
            <w:shd w:val="clear" w:color="auto" w:fill="auto"/>
            <w:noWrap/>
            <w:hideMark/>
          </w:tcPr>
          <w:p w14:paraId="505BB0C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0.734</w:t>
            </w:r>
          </w:p>
        </w:tc>
      </w:tr>
      <w:tr w:rsidR="00227727" w:rsidRPr="00227727" w14:paraId="708B266C" w14:textId="77777777" w:rsidTr="00E772F3">
        <w:trPr>
          <w:trHeight w:val="288"/>
        </w:trPr>
        <w:tc>
          <w:tcPr>
            <w:tcW w:w="1170" w:type="pct"/>
            <w:shd w:val="clear" w:color="auto" w:fill="auto"/>
            <w:noWrap/>
            <w:hideMark/>
          </w:tcPr>
          <w:p w14:paraId="4EFA968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SW6</w:t>
            </w:r>
          </w:p>
        </w:tc>
        <w:tc>
          <w:tcPr>
            <w:tcW w:w="670" w:type="pct"/>
            <w:shd w:val="clear" w:color="auto" w:fill="auto"/>
            <w:noWrap/>
            <w:hideMark/>
          </w:tcPr>
          <w:p w14:paraId="7E6E6B7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0.581</w:t>
            </w:r>
          </w:p>
        </w:tc>
        <w:tc>
          <w:tcPr>
            <w:tcW w:w="669" w:type="pct"/>
            <w:shd w:val="clear" w:color="auto" w:fill="auto"/>
            <w:noWrap/>
            <w:hideMark/>
          </w:tcPr>
          <w:p w14:paraId="6D1EE3E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0.535</w:t>
            </w:r>
          </w:p>
        </w:tc>
        <w:tc>
          <w:tcPr>
            <w:tcW w:w="753" w:type="pct"/>
            <w:shd w:val="clear" w:color="auto" w:fill="auto"/>
            <w:noWrap/>
            <w:hideMark/>
          </w:tcPr>
          <w:p w14:paraId="55198C4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0.635</w:t>
            </w:r>
          </w:p>
        </w:tc>
        <w:tc>
          <w:tcPr>
            <w:tcW w:w="711" w:type="pct"/>
            <w:shd w:val="clear" w:color="auto" w:fill="auto"/>
            <w:noWrap/>
            <w:hideMark/>
          </w:tcPr>
          <w:p w14:paraId="5028442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0.604</w:t>
            </w:r>
          </w:p>
        </w:tc>
        <w:tc>
          <w:tcPr>
            <w:tcW w:w="418" w:type="pct"/>
            <w:shd w:val="clear" w:color="auto" w:fill="auto"/>
            <w:noWrap/>
            <w:hideMark/>
          </w:tcPr>
          <w:p w14:paraId="33CB98B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0.549</w:t>
            </w:r>
          </w:p>
        </w:tc>
        <w:tc>
          <w:tcPr>
            <w:tcW w:w="609" w:type="pct"/>
            <w:shd w:val="clear" w:color="auto" w:fill="auto"/>
            <w:noWrap/>
            <w:hideMark/>
          </w:tcPr>
          <w:p w14:paraId="24AF34D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0.754</w:t>
            </w:r>
          </w:p>
        </w:tc>
      </w:tr>
    </w:tbl>
    <w:p w14:paraId="254DE2EA" w14:textId="77777777" w:rsidR="00227727" w:rsidRPr="00227727" w:rsidRDefault="00227727" w:rsidP="00227727">
      <w:pPr>
        <w:spacing w:after="0" w:line="360" w:lineRule="auto"/>
        <w:jc w:val="both"/>
        <w:rPr>
          <w:rFonts w:ascii="Arial" w:hAnsi="Arial" w:cs="Arial"/>
          <w:sz w:val="24"/>
          <w:szCs w:val="24"/>
          <w:lang w:bidi="ta-IN"/>
        </w:rPr>
      </w:pPr>
    </w:p>
    <w:p w14:paraId="3806F137"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The Fornell-Larcker criterion is a popular method for evaluating discriminant validity, ensuring that constructs in a model are statistically distinct. To confirm discriminant validity, Fornell and Larcker (1981) require that the square root of the AVE for each construct (represented by diagonal values in Table 4.8) be greater than its correlations with other constructs. This rule ensures a construct has a higher variance with its indicators than the other model constructs.</w:t>
      </w:r>
    </w:p>
    <w:p w14:paraId="7D60AC62"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As shown in Table 4.8, the diagonal values representing the square root of AVE are greater than the off-diagonal correlations in the columns and rows. Employees' Wellbeing (0.828) has a higher diagonal value than its correlations with other constructs such as HRM Practices (0.766), Job Performance (0.796), and Job Satisfaction (0.813), indicating that it is distinct from the others. Similarly, HRM Practices (0.784), Job Performance (0.798), Job Satisfaction (0.818), Job Stress (0.821), and Smarter Working (0.747) all meet this criterion, indicating that each construct is unique in the model. While the results are within the Fornell-Larcker threshold, some constructs, such as Job Stress (0.821) and Smarter Working (0.747), have moderately high correlations with other constructs, indicating conceptual proximity. However, because their diagonal values are still higher than their respective correlations, discriminant validity is statistically supported (Henseler et al., 2015). These findings prove that each construct is empirically distinct, reducing concerns about measurement redundancy. Finally, this study also meets the criteria of discriminant validity.</w:t>
      </w:r>
    </w:p>
    <w:p w14:paraId="00C230E7"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4.8.</w:t>
      </w:r>
      <w:r w:rsidRPr="00227727">
        <w:rPr>
          <w:rFonts w:ascii="Arial" w:hAnsi="Arial" w:cs="Arial"/>
          <w:sz w:val="24"/>
          <w:szCs w:val="24"/>
          <w:lang w:bidi="ta-IN"/>
        </w:rPr>
        <w:t xml:space="preserve"> Fornell-Larcker Criteria</w:t>
      </w:r>
    </w:p>
    <w:tbl>
      <w:tblPr>
        <w:tblStyle w:val="ListTable6Colourful"/>
        <w:tblW w:w="5000" w:type="pct"/>
        <w:tblLook w:val="0620" w:firstRow="1" w:lastRow="0" w:firstColumn="0" w:lastColumn="0" w:noHBand="1" w:noVBand="1"/>
      </w:tblPr>
      <w:tblGrid>
        <w:gridCol w:w="1807"/>
        <w:gridCol w:w="1916"/>
        <w:gridCol w:w="1374"/>
        <w:gridCol w:w="1567"/>
        <w:gridCol w:w="1493"/>
        <w:gridCol w:w="1061"/>
        <w:gridCol w:w="1548"/>
      </w:tblGrid>
      <w:tr w:rsidR="00227727" w:rsidRPr="00227727" w14:paraId="1A1A61FB"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1701" w:type="pct"/>
            <w:shd w:val="clear" w:color="auto" w:fill="auto"/>
            <w:noWrap/>
            <w:hideMark/>
          </w:tcPr>
          <w:p w14:paraId="34DAC6CA" w14:textId="77777777" w:rsidR="00227727" w:rsidRPr="00227727" w:rsidRDefault="00227727" w:rsidP="00E772F3">
            <w:pPr>
              <w:spacing w:line="360" w:lineRule="auto"/>
              <w:rPr>
                <w:rFonts w:ascii="Arial" w:eastAsia="Times New Roman" w:hAnsi="Arial" w:cs="Arial"/>
                <w:sz w:val="20"/>
                <w:szCs w:val="20"/>
              </w:rPr>
            </w:pPr>
            <w:r w:rsidRPr="00227727">
              <w:rPr>
                <w:rFonts w:ascii="Arial" w:eastAsia="Times New Roman" w:hAnsi="Arial" w:cs="Arial"/>
                <w:sz w:val="20"/>
                <w:szCs w:val="20"/>
              </w:rPr>
              <w:t>Constructs</w:t>
            </w:r>
          </w:p>
        </w:tc>
        <w:tc>
          <w:tcPr>
            <w:tcW w:w="650" w:type="pct"/>
            <w:shd w:val="clear" w:color="auto" w:fill="auto"/>
            <w:noWrap/>
            <w:hideMark/>
          </w:tcPr>
          <w:p w14:paraId="4809080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Employees Wellbeing</w:t>
            </w:r>
          </w:p>
        </w:tc>
        <w:tc>
          <w:tcPr>
            <w:tcW w:w="486" w:type="pct"/>
            <w:shd w:val="clear" w:color="auto" w:fill="auto"/>
            <w:noWrap/>
            <w:hideMark/>
          </w:tcPr>
          <w:p w14:paraId="1D86C9C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HRM Practices</w:t>
            </w:r>
          </w:p>
        </w:tc>
        <w:tc>
          <w:tcPr>
            <w:tcW w:w="491" w:type="pct"/>
            <w:shd w:val="clear" w:color="auto" w:fill="auto"/>
            <w:noWrap/>
            <w:hideMark/>
          </w:tcPr>
          <w:p w14:paraId="56F8B55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Performance</w:t>
            </w:r>
          </w:p>
        </w:tc>
        <w:tc>
          <w:tcPr>
            <w:tcW w:w="449" w:type="pct"/>
            <w:shd w:val="clear" w:color="auto" w:fill="auto"/>
            <w:noWrap/>
            <w:hideMark/>
          </w:tcPr>
          <w:p w14:paraId="1E5255E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Satisfaction</w:t>
            </w:r>
          </w:p>
        </w:tc>
        <w:tc>
          <w:tcPr>
            <w:tcW w:w="543" w:type="pct"/>
            <w:shd w:val="clear" w:color="auto" w:fill="auto"/>
            <w:noWrap/>
            <w:hideMark/>
          </w:tcPr>
          <w:p w14:paraId="57B548D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Job Stress</w:t>
            </w:r>
          </w:p>
        </w:tc>
        <w:tc>
          <w:tcPr>
            <w:tcW w:w="679" w:type="pct"/>
            <w:shd w:val="clear" w:color="auto" w:fill="auto"/>
            <w:noWrap/>
            <w:hideMark/>
          </w:tcPr>
          <w:p w14:paraId="60B8517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Smarter Working</w:t>
            </w:r>
          </w:p>
        </w:tc>
      </w:tr>
      <w:tr w:rsidR="00227727" w:rsidRPr="00227727" w14:paraId="1119D494" w14:textId="77777777" w:rsidTr="00E772F3">
        <w:trPr>
          <w:trHeight w:val="288"/>
        </w:trPr>
        <w:tc>
          <w:tcPr>
            <w:tcW w:w="1701" w:type="pct"/>
            <w:shd w:val="clear" w:color="auto" w:fill="auto"/>
            <w:noWrap/>
            <w:hideMark/>
          </w:tcPr>
          <w:p w14:paraId="012D978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Employees Wellbeing</w:t>
            </w:r>
          </w:p>
        </w:tc>
        <w:tc>
          <w:tcPr>
            <w:tcW w:w="650" w:type="pct"/>
            <w:shd w:val="clear" w:color="auto" w:fill="auto"/>
            <w:noWrap/>
            <w:hideMark/>
          </w:tcPr>
          <w:p w14:paraId="4D1BCCFF" w14:textId="77777777" w:rsidR="00227727" w:rsidRPr="00227727" w:rsidRDefault="00227727" w:rsidP="00E772F3">
            <w:pPr>
              <w:spacing w:line="360" w:lineRule="auto"/>
              <w:jc w:val="center"/>
              <w:rPr>
                <w:rFonts w:ascii="Arial" w:eastAsia="Times New Roman" w:hAnsi="Arial" w:cs="Arial"/>
                <w:b/>
                <w:sz w:val="22"/>
              </w:rPr>
            </w:pPr>
            <w:r w:rsidRPr="00227727">
              <w:rPr>
                <w:rFonts w:ascii="Arial" w:eastAsia="Times New Roman" w:hAnsi="Arial" w:cs="Arial"/>
                <w:b/>
                <w:sz w:val="22"/>
              </w:rPr>
              <w:t>0.828</w:t>
            </w:r>
          </w:p>
        </w:tc>
        <w:tc>
          <w:tcPr>
            <w:tcW w:w="486" w:type="pct"/>
            <w:shd w:val="clear" w:color="auto" w:fill="auto"/>
            <w:noWrap/>
            <w:hideMark/>
          </w:tcPr>
          <w:p w14:paraId="3E942522" w14:textId="77777777" w:rsidR="00227727" w:rsidRPr="00227727" w:rsidRDefault="00227727" w:rsidP="00E772F3">
            <w:pPr>
              <w:spacing w:line="360" w:lineRule="auto"/>
              <w:jc w:val="center"/>
              <w:rPr>
                <w:rFonts w:ascii="Arial" w:eastAsia="Times New Roman" w:hAnsi="Arial" w:cs="Arial"/>
                <w:sz w:val="22"/>
              </w:rPr>
            </w:pPr>
          </w:p>
        </w:tc>
        <w:tc>
          <w:tcPr>
            <w:tcW w:w="491" w:type="pct"/>
            <w:shd w:val="clear" w:color="auto" w:fill="auto"/>
            <w:noWrap/>
            <w:hideMark/>
          </w:tcPr>
          <w:p w14:paraId="54616E21" w14:textId="77777777" w:rsidR="00227727" w:rsidRPr="00227727" w:rsidRDefault="00227727" w:rsidP="00E772F3">
            <w:pPr>
              <w:spacing w:line="360" w:lineRule="auto"/>
              <w:jc w:val="center"/>
              <w:rPr>
                <w:rFonts w:ascii="Arial" w:eastAsia="Times New Roman" w:hAnsi="Arial" w:cs="Arial"/>
                <w:sz w:val="22"/>
              </w:rPr>
            </w:pPr>
          </w:p>
        </w:tc>
        <w:tc>
          <w:tcPr>
            <w:tcW w:w="449" w:type="pct"/>
            <w:shd w:val="clear" w:color="auto" w:fill="auto"/>
            <w:noWrap/>
            <w:hideMark/>
          </w:tcPr>
          <w:p w14:paraId="38CACD98" w14:textId="77777777" w:rsidR="00227727" w:rsidRPr="00227727" w:rsidRDefault="00227727" w:rsidP="00E772F3">
            <w:pPr>
              <w:spacing w:line="360" w:lineRule="auto"/>
              <w:jc w:val="center"/>
              <w:rPr>
                <w:rFonts w:ascii="Arial" w:eastAsia="Times New Roman" w:hAnsi="Arial" w:cs="Arial"/>
                <w:sz w:val="22"/>
              </w:rPr>
            </w:pPr>
          </w:p>
        </w:tc>
        <w:tc>
          <w:tcPr>
            <w:tcW w:w="543" w:type="pct"/>
            <w:shd w:val="clear" w:color="auto" w:fill="auto"/>
            <w:noWrap/>
            <w:hideMark/>
          </w:tcPr>
          <w:p w14:paraId="573DFF62" w14:textId="77777777" w:rsidR="00227727" w:rsidRPr="00227727" w:rsidRDefault="00227727" w:rsidP="00E772F3">
            <w:pPr>
              <w:spacing w:line="360" w:lineRule="auto"/>
              <w:jc w:val="center"/>
              <w:rPr>
                <w:rFonts w:ascii="Arial" w:eastAsia="Times New Roman" w:hAnsi="Arial" w:cs="Arial"/>
                <w:sz w:val="22"/>
              </w:rPr>
            </w:pPr>
          </w:p>
        </w:tc>
        <w:tc>
          <w:tcPr>
            <w:tcW w:w="679" w:type="pct"/>
            <w:shd w:val="clear" w:color="auto" w:fill="auto"/>
            <w:noWrap/>
            <w:hideMark/>
          </w:tcPr>
          <w:p w14:paraId="007B312A"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169CF512" w14:textId="77777777" w:rsidTr="00E772F3">
        <w:trPr>
          <w:trHeight w:val="288"/>
        </w:trPr>
        <w:tc>
          <w:tcPr>
            <w:tcW w:w="1701" w:type="pct"/>
            <w:shd w:val="clear" w:color="auto" w:fill="auto"/>
            <w:noWrap/>
            <w:hideMark/>
          </w:tcPr>
          <w:p w14:paraId="26FCEDB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 Practices</w:t>
            </w:r>
          </w:p>
        </w:tc>
        <w:tc>
          <w:tcPr>
            <w:tcW w:w="650" w:type="pct"/>
            <w:shd w:val="clear" w:color="auto" w:fill="auto"/>
            <w:noWrap/>
            <w:hideMark/>
          </w:tcPr>
          <w:p w14:paraId="50382A1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0.766</w:t>
            </w:r>
          </w:p>
        </w:tc>
        <w:tc>
          <w:tcPr>
            <w:tcW w:w="486" w:type="pct"/>
            <w:shd w:val="clear" w:color="auto" w:fill="auto"/>
            <w:noWrap/>
            <w:hideMark/>
          </w:tcPr>
          <w:p w14:paraId="15B34A5A" w14:textId="77777777" w:rsidR="00227727" w:rsidRPr="00227727" w:rsidRDefault="00227727" w:rsidP="00E772F3">
            <w:pPr>
              <w:spacing w:line="360" w:lineRule="auto"/>
              <w:jc w:val="center"/>
              <w:rPr>
                <w:rFonts w:ascii="Arial" w:eastAsia="Times New Roman" w:hAnsi="Arial" w:cs="Arial"/>
                <w:b/>
                <w:sz w:val="22"/>
              </w:rPr>
            </w:pPr>
            <w:r w:rsidRPr="00227727">
              <w:rPr>
                <w:rFonts w:ascii="Arial" w:eastAsia="Times New Roman" w:hAnsi="Arial" w:cs="Arial"/>
                <w:b/>
                <w:sz w:val="22"/>
              </w:rPr>
              <w:t>0.784</w:t>
            </w:r>
          </w:p>
        </w:tc>
        <w:tc>
          <w:tcPr>
            <w:tcW w:w="491" w:type="pct"/>
            <w:shd w:val="clear" w:color="auto" w:fill="auto"/>
            <w:noWrap/>
            <w:hideMark/>
          </w:tcPr>
          <w:p w14:paraId="1A380AFB" w14:textId="77777777" w:rsidR="00227727" w:rsidRPr="00227727" w:rsidRDefault="00227727" w:rsidP="00E772F3">
            <w:pPr>
              <w:spacing w:line="360" w:lineRule="auto"/>
              <w:jc w:val="center"/>
              <w:rPr>
                <w:rFonts w:ascii="Arial" w:eastAsia="Times New Roman" w:hAnsi="Arial" w:cs="Arial"/>
                <w:sz w:val="22"/>
              </w:rPr>
            </w:pPr>
          </w:p>
        </w:tc>
        <w:tc>
          <w:tcPr>
            <w:tcW w:w="449" w:type="pct"/>
            <w:shd w:val="clear" w:color="auto" w:fill="auto"/>
            <w:noWrap/>
            <w:hideMark/>
          </w:tcPr>
          <w:p w14:paraId="730A0012" w14:textId="77777777" w:rsidR="00227727" w:rsidRPr="00227727" w:rsidRDefault="00227727" w:rsidP="00E772F3">
            <w:pPr>
              <w:spacing w:line="360" w:lineRule="auto"/>
              <w:jc w:val="center"/>
              <w:rPr>
                <w:rFonts w:ascii="Arial" w:eastAsia="Times New Roman" w:hAnsi="Arial" w:cs="Arial"/>
                <w:sz w:val="22"/>
              </w:rPr>
            </w:pPr>
          </w:p>
        </w:tc>
        <w:tc>
          <w:tcPr>
            <w:tcW w:w="543" w:type="pct"/>
            <w:shd w:val="clear" w:color="auto" w:fill="auto"/>
            <w:noWrap/>
            <w:hideMark/>
          </w:tcPr>
          <w:p w14:paraId="61B197EA" w14:textId="77777777" w:rsidR="00227727" w:rsidRPr="00227727" w:rsidRDefault="00227727" w:rsidP="00E772F3">
            <w:pPr>
              <w:spacing w:line="360" w:lineRule="auto"/>
              <w:jc w:val="center"/>
              <w:rPr>
                <w:rFonts w:ascii="Arial" w:eastAsia="Times New Roman" w:hAnsi="Arial" w:cs="Arial"/>
                <w:sz w:val="22"/>
              </w:rPr>
            </w:pPr>
          </w:p>
        </w:tc>
        <w:tc>
          <w:tcPr>
            <w:tcW w:w="679" w:type="pct"/>
            <w:shd w:val="clear" w:color="auto" w:fill="auto"/>
            <w:noWrap/>
            <w:hideMark/>
          </w:tcPr>
          <w:p w14:paraId="751DE311"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600D490B" w14:textId="77777777" w:rsidTr="00E772F3">
        <w:trPr>
          <w:trHeight w:val="288"/>
        </w:trPr>
        <w:tc>
          <w:tcPr>
            <w:tcW w:w="1701" w:type="pct"/>
            <w:shd w:val="clear" w:color="auto" w:fill="auto"/>
            <w:noWrap/>
            <w:hideMark/>
          </w:tcPr>
          <w:p w14:paraId="1E726A9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Performance</w:t>
            </w:r>
          </w:p>
        </w:tc>
        <w:tc>
          <w:tcPr>
            <w:tcW w:w="650" w:type="pct"/>
            <w:shd w:val="clear" w:color="auto" w:fill="auto"/>
            <w:noWrap/>
            <w:hideMark/>
          </w:tcPr>
          <w:p w14:paraId="2670CFE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0.796</w:t>
            </w:r>
          </w:p>
        </w:tc>
        <w:tc>
          <w:tcPr>
            <w:tcW w:w="486" w:type="pct"/>
            <w:shd w:val="clear" w:color="auto" w:fill="auto"/>
            <w:noWrap/>
            <w:hideMark/>
          </w:tcPr>
          <w:p w14:paraId="50E53DC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0.720</w:t>
            </w:r>
          </w:p>
        </w:tc>
        <w:tc>
          <w:tcPr>
            <w:tcW w:w="491" w:type="pct"/>
            <w:shd w:val="clear" w:color="auto" w:fill="auto"/>
            <w:noWrap/>
            <w:hideMark/>
          </w:tcPr>
          <w:p w14:paraId="057F686A" w14:textId="77777777" w:rsidR="00227727" w:rsidRPr="00227727" w:rsidRDefault="00227727" w:rsidP="00E772F3">
            <w:pPr>
              <w:spacing w:line="360" w:lineRule="auto"/>
              <w:jc w:val="center"/>
              <w:rPr>
                <w:rFonts w:ascii="Arial" w:eastAsia="Times New Roman" w:hAnsi="Arial" w:cs="Arial"/>
                <w:b/>
                <w:sz w:val="22"/>
              </w:rPr>
            </w:pPr>
            <w:r w:rsidRPr="00227727">
              <w:rPr>
                <w:rFonts w:ascii="Arial" w:eastAsia="Times New Roman" w:hAnsi="Arial" w:cs="Arial"/>
                <w:b/>
                <w:sz w:val="22"/>
              </w:rPr>
              <w:t>0.798</w:t>
            </w:r>
          </w:p>
        </w:tc>
        <w:tc>
          <w:tcPr>
            <w:tcW w:w="449" w:type="pct"/>
            <w:shd w:val="clear" w:color="auto" w:fill="auto"/>
            <w:noWrap/>
            <w:hideMark/>
          </w:tcPr>
          <w:p w14:paraId="03D566AE" w14:textId="77777777" w:rsidR="00227727" w:rsidRPr="00227727" w:rsidRDefault="00227727" w:rsidP="00E772F3">
            <w:pPr>
              <w:spacing w:line="360" w:lineRule="auto"/>
              <w:jc w:val="center"/>
              <w:rPr>
                <w:rFonts w:ascii="Arial" w:eastAsia="Times New Roman" w:hAnsi="Arial" w:cs="Arial"/>
                <w:sz w:val="22"/>
              </w:rPr>
            </w:pPr>
          </w:p>
        </w:tc>
        <w:tc>
          <w:tcPr>
            <w:tcW w:w="543" w:type="pct"/>
            <w:shd w:val="clear" w:color="auto" w:fill="auto"/>
            <w:noWrap/>
            <w:hideMark/>
          </w:tcPr>
          <w:p w14:paraId="2CD0CF38" w14:textId="77777777" w:rsidR="00227727" w:rsidRPr="00227727" w:rsidRDefault="00227727" w:rsidP="00E772F3">
            <w:pPr>
              <w:spacing w:line="360" w:lineRule="auto"/>
              <w:jc w:val="center"/>
              <w:rPr>
                <w:rFonts w:ascii="Arial" w:eastAsia="Times New Roman" w:hAnsi="Arial" w:cs="Arial"/>
                <w:sz w:val="22"/>
              </w:rPr>
            </w:pPr>
          </w:p>
        </w:tc>
        <w:tc>
          <w:tcPr>
            <w:tcW w:w="679" w:type="pct"/>
            <w:shd w:val="clear" w:color="auto" w:fill="auto"/>
            <w:noWrap/>
            <w:hideMark/>
          </w:tcPr>
          <w:p w14:paraId="61AA5F0C"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63093593" w14:textId="77777777" w:rsidTr="00E772F3">
        <w:trPr>
          <w:trHeight w:val="288"/>
        </w:trPr>
        <w:tc>
          <w:tcPr>
            <w:tcW w:w="1701" w:type="pct"/>
            <w:shd w:val="clear" w:color="auto" w:fill="auto"/>
            <w:noWrap/>
            <w:hideMark/>
          </w:tcPr>
          <w:p w14:paraId="78B8043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Satisfaction</w:t>
            </w:r>
          </w:p>
        </w:tc>
        <w:tc>
          <w:tcPr>
            <w:tcW w:w="650" w:type="pct"/>
            <w:shd w:val="clear" w:color="auto" w:fill="auto"/>
            <w:noWrap/>
            <w:hideMark/>
          </w:tcPr>
          <w:p w14:paraId="4687587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0.813</w:t>
            </w:r>
          </w:p>
        </w:tc>
        <w:tc>
          <w:tcPr>
            <w:tcW w:w="486" w:type="pct"/>
            <w:shd w:val="clear" w:color="auto" w:fill="auto"/>
            <w:noWrap/>
            <w:hideMark/>
          </w:tcPr>
          <w:p w14:paraId="515907C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0.730</w:t>
            </w:r>
          </w:p>
        </w:tc>
        <w:tc>
          <w:tcPr>
            <w:tcW w:w="491" w:type="pct"/>
            <w:shd w:val="clear" w:color="auto" w:fill="auto"/>
            <w:noWrap/>
            <w:hideMark/>
          </w:tcPr>
          <w:p w14:paraId="5F8C022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0.758</w:t>
            </w:r>
          </w:p>
        </w:tc>
        <w:tc>
          <w:tcPr>
            <w:tcW w:w="449" w:type="pct"/>
            <w:shd w:val="clear" w:color="auto" w:fill="auto"/>
            <w:noWrap/>
            <w:hideMark/>
          </w:tcPr>
          <w:p w14:paraId="193BA076" w14:textId="77777777" w:rsidR="00227727" w:rsidRPr="00227727" w:rsidRDefault="00227727" w:rsidP="00E772F3">
            <w:pPr>
              <w:spacing w:line="360" w:lineRule="auto"/>
              <w:jc w:val="center"/>
              <w:rPr>
                <w:rFonts w:ascii="Arial" w:eastAsia="Times New Roman" w:hAnsi="Arial" w:cs="Arial"/>
                <w:b/>
                <w:sz w:val="22"/>
              </w:rPr>
            </w:pPr>
            <w:r w:rsidRPr="00227727">
              <w:rPr>
                <w:rFonts w:ascii="Arial" w:eastAsia="Times New Roman" w:hAnsi="Arial" w:cs="Arial"/>
                <w:b/>
                <w:sz w:val="22"/>
              </w:rPr>
              <w:t>0.888</w:t>
            </w:r>
          </w:p>
        </w:tc>
        <w:tc>
          <w:tcPr>
            <w:tcW w:w="543" w:type="pct"/>
            <w:shd w:val="clear" w:color="auto" w:fill="auto"/>
            <w:noWrap/>
            <w:hideMark/>
          </w:tcPr>
          <w:p w14:paraId="1F877FDF" w14:textId="77777777" w:rsidR="00227727" w:rsidRPr="00227727" w:rsidRDefault="00227727" w:rsidP="00E772F3">
            <w:pPr>
              <w:spacing w:line="360" w:lineRule="auto"/>
              <w:jc w:val="center"/>
              <w:rPr>
                <w:rFonts w:ascii="Arial" w:eastAsia="Times New Roman" w:hAnsi="Arial" w:cs="Arial"/>
                <w:sz w:val="22"/>
              </w:rPr>
            </w:pPr>
          </w:p>
        </w:tc>
        <w:tc>
          <w:tcPr>
            <w:tcW w:w="679" w:type="pct"/>
            <w:shd w:val="clear" w:color="auto" w:fill="auto"/>
            <w:noWrap/>
            <w:hideMark/>
          </w:tcPr>
          <w:p w14:paraId="2C415FE9"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2A92CFCE" w14:textId="77777777" w:rsidTr="00E772F3">
        <w:trPr>
          <w:trHeight w:val="288"/>
        </w:trPr>
        <w:tc>
          <w:tcPr>
            <w:tcW w:w="1701" w:type="pct"/>
            <w:shd w:val="clear" w:color="auto" w:fill="auto"/>
            <w:noWrap/>
            <w:hideMark/>
          </w:tcPr>
          <w:p w14:paraId="735930A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Stress</w:t>
            </w:r>
          </w:p>
        </w:tc>
        <w:tc>
          <w:tcPr>
            <w:tcW w:w="650" w:type="pct"/>
            <w:shd w:val="clear" w:color="auto" w:fill="auto"/>
            <w:noWrap/>
            <w:hideMark/>
          </w:tcPr>
          <w:p w14:paraId="3FAB5D5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0.818</w:t>
            </w:r>
          </w:p>
        </w:tc>
        <w:tc>
          <w:tcPr>
            <w:tcW w:w="486" w:type="pct"/>
            <w:shd w:val="clear" w:color="auto" w:fill="auto"/>
            <w:noWrap/>
            <w:hideMark/>
          </w:tcPr>
          <w:p w14:paraId="2C29A09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0.748</w:t>
            </w:r>
          </w:p>
        </w:tc>
        <w:tc>
          <w:tcPr>
            <w:tcW w:w="491" w:type="pct"/>
            <w:shd w:val="clear" w:color="auto" w:fill="auto"/>
            <w:noWrap/>
            <w:hideMark/>
          </w:tcPr>
          <w:p w14:paraId="54017DB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0.762</w:t>
            </w:r>
          </w:p>
        </w:tc>
        <w:tc>
          <w:tcPr>
            <w:tcW w:w="449" w:type="pct"/>
            <w:shd w:val="clear" w:color="auto" w:fill="auto"/>
            <w:noWrap/>
            <w:hideMark/>
          </w:tcPr>
          <w:p w14:paraId="5841BC2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0.872</w:t>
            </w:r>
          </w:p>
        </w:tc>
        <w:tc>
          <w:tcPr>
            <w:tcW w:w="543" w:type="pct"/>
            <w:shd w:val="clear" w:color="auto" w:fill="auto"/>
            <w:noWrap/>
            <w:hideMark/>
          </w:tcPr>
          <w:p w14:paraId="6CDC5E70" w14:textId="77777777" w:rsidR="00227727" w:rsidRPr="00227727" w:rsidRDefault="00227727" w:rsidP="00E772F3">
            <w:pPr>
              <w:spacing w:line="360" w:lineRule="auto"/>
              <w:jc w:val="center"/>
              <w:rPr>
                <w:rFonts w:ascii="Arial" w:eastAsia="Times New Roman" w:hAnsi="Arial" w:cs="Arial"/>
                <w:b/>
                <w:sz w:val="22"/>
              </w:rPr>
            </w:pPr>
            <w:r w:rsidRPr="00227727">
              <w:rPr>
                <w:rFonts w:ascii="Arial" w:eastAsia="Times New Roman" w:hAnsi="Arial" w:cs="Arial"/>
                <w:b/>
                <w:sz w:val="22"/>
              </w:rPr>
              <w:t>0.821</w:t>
            </w:r>
          </w:p>
        </w:tc>
        <w:tc>
          <w:tcPr>
            <w:tcW w:w="679" w:type="pct"/>
            <w:shd w:val="clear" w:color="auto" w:fill="auto"/>
            <w:noWrap/>
            <w:hideMark/>
          </w:tcPr>
          <w:p w14:paraId="5D1FDDF4"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3FABBC5C" w14:textId="77777777" w:rsidTr="00E772F3">
        <w:trPr>
          <w:trHeight w:val="288"/>
        </w:trPr>
        <w:tc>
          <w:tcPr>
            <w:tcW w:w="1701" w:type="pct"/>
            <w:shd w:val="clear" w:color="auto" w:fill="auto"/>
            <w:noWrap/>
            <w:hideMark/>
          </w:tcPr>
          <w:p w14:paraId="5D3AD67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w:t>
            </w:r>
          </w:p>
        </w:tc>
        <w:tc>
          <w:tcPr>
            <w:tcW w:w="650" w:type="pct"/>
            <w:shd w:val="clear" w:color="auto" w:fill="auto"/>
            <w:noWrap/>
            <w:hideMark/>
          </w:tcPr>
          <w:p w14:paraId="3542A21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0.827</w:t>
            </w:r>
          </w:p>
        </w:tc>
        <w:tc>
          <w:tcPr>
            <w:tcW w:w="486" w:type="pct"/>
            <w:shd w:val="clear" w:color="auto" w:fill="auto"/>
            <w:noWrap/>
            <w:hideMark/>
          </w:tcPr>
          <w:p w14:paraId="585241A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0.744</w:t>
            </w:r>
          </w:p>
        </w:tc>
        <w:tc>
          <w:tcPr>
            <w:tcW w:w="491" w:type="pct"/>
            <w:shd w:val="clear" w:color="auto" w:fill="auto"/>
            <w:noWrap/>
            <w:hideMark/>
          </w:tcPr>
          <w:p w14:paraId="66AD549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0.771</w:t>
            </w:r>
          </w:p>
        </w:tc>
        <w:tc>
          <w:tcPr>
            <w:tcW w:w="449" w:type="pct"/>
            <w:shd w:val="clear" w:color="auto" w:fill="auto"/>
            <w:noWrap/>
            <w:hideMark/>
          </w:tcPr>
          <w:p w14:paraId="22933C8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0.821</w:t>
            </w:r>
          </w:p>
        </w:tc>
        <w:tc>
          <w:tcPr>
            <w:tcW w:w="543" w:type="pct"/>
            <w:shd w:val="clear" w:color="auto" w:fill="auto"/>
            <w:noWrap/>
            <w:hideMark/>
          </w:tcPr>
          <w:p w14:paraId="058539A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0.811</w:t>
            </w:r>
          </w:p>
        </w:tc>
        <w:tc>
          <w:tcPr>
            <w:tcW w:w="679" w:type="pct"/>
            <w:shd w:val="clear" w:color="auto" w:fill="auto"/>
            <w:noWrap/>
            <w:hideMark/>
          </w:tcPr>
          <w:p w14:paraId="6301306D" w14:textId="77777777" w:rsidR="00227727" w:rsidRPr="00227727" w:rsidRDefault="00227727" w:rsidP="00E772F3">
            <w:pPr>
              <w:spacing w:line="360" w:lineRule="auto"/>
              <w:jc w:val="center"/>
              <w:rPr>
                <w:rFonts w:ascii="Arial" w:eastAsia="Times New Roman" w:hAnsi="Arial" w:cs="Arial"/>
                <w:b/>
                <w:sz w:val="22"/>
              </w:rPr>
            </w:pPr>
            <w:r w:rsidRPr="00227727">
              <w:rPr>
                <w:rFonts w:ascii="Arial" w:eastAsia="Times New Roman" w:hAnsi="Arial" w:cs="Arial"/>
                <w:b/>
                <w:sz w:val="22"/>
              </w:rPr>
              <w:t>0.747</w:t>
            </w:r>
          </w:p>
        </w:tc>
      </w:tr>
    </w:tbl>
    <w:p w14:paraId="3A65EB71" w14:textId="77777777" w:rsidR="00227727" w:rsidRPr="00227727" w:rsidRDefault="00227727" w:rsidP="00227727">
      <w:pPr>
        <w:spacing w:after="0" w:line="360" w:lineRule="auto"/>
        <w:jc w:val="both"/>
        <w:rPr>
          <w:rFonts w:ascii="Arial" w:hAnsi="Arial" w:cs="Arial"/>
          <w:sz w:val="20"/>
          <w:szCs w:val="24"/>
          <w:lang w:bidi="ta-IN"/>
        </w:rPr>
      </w:pPr>
      <w:r w:rsidRPr="00227727">
        <w:rPr>
          <w:rFonts w:ascii="Arial" w:hAnsi="Arial" w:cs="Arial"/>
          <w:b/>
          <w:sz w:val="20"/>
          <w:szCs w:val="24"/>
          <w:lang w:bidi="ta-IN"/>
        </w:rPr>
        <w:t>Note:</w:t>
      </w:r>
      <w:r w:rsidRPr="00227727">
        <w:rPr>
          <w:rFonts w:ascii="Arial" w:hAnsi="Arial" w:cs="Arial"/>
          <w:sz w:val="20"/>
          <w:szCs w:val="24"/>
          <w:lang w:bidi="ta-IN"/>
        </w:rPr>
        <w:t xml:space="preserve"> Diagonal values represent the square roots of AVE</w:t>
      </w:r>
    </w:p>
    <w:p w14:paraId="7306159B" w14:textId="77777777" w:rsidR="00227727" w:rsidRPr="00227727" w:rsidRDefault="00227727" w:rsidP="00227727">
      <w:pPr>
        <w:spacing w:line="360" w:lineRule="auto"/>
        <w:rPr>
          <w:rFonts w:ascii="Arial" w:hAnsi="Arial" w:cs="Arial"/>
          <w:sz w:val="24"/>
          <w:szCs w:val="24"/>
          <w:lang w:bidi="ta-IN"/>
        </w:rPr>
      </w:pPr>
    </w:p>
    <w:p w14:paraId="4B77C70E" w14:textId="77777777" w:rsidR="00227727" w:rsidRPr="00227727" w:rsidRDefault="00227727" w:rsidP="00227727">
      <w:pPr>
        <w:pStyle w:val="Heading4"/>
        <w:spacing w:line="360" w:lineRule="auto"/>
        <w:rPr>
          <w:rFonts w:ascii="Arial" w:hAnsi="Arial" w:cs="Arial"/>
        </w:rPr>
      </w:pPr>
      <w:r w:rsidRPr="00227727">
        <w:rPr>
          <w:rFonts w:ascii="Arial" w:hAnsi="Arial" w:cs="Arial"/>
        </w:rPr>
        <w:lastRenderedPageBreak/>
        <w:t>Reliability Analysis</w:t>
      </w:r>
    </w:p>
    <w:p w14:paraId="4D1C4591"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Reliability analysis is an important step in determining the internal consistency of constructs in a study. Cronbach Alpha (α) and Composite Reliability (CR) determine whether measurement items in each construct accurately reflect the theoretical concept. Nunnally and Bernstein (1994) define acceptable reliability as a Cronbach's Alpha value of 0.70 or higher, while values above 0.80 are considered good and above 0.90 are excellent. Similarly, composite reliability (CR) values greater than 0.70 indicate high internal consistency (Hair et al., 2019). The results in Table 4.9 show that all constructs meet or exceed these thresholds, demonstrating the measurement model's reliability.</w:t>
      </w:r>
    </w:p>
    <w:p w14:paraId="50A5B194"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The constructs with the highest reliability values are Employees' Wellbeing (α = 0.923, CR = 0.938), Job Satisfaction (α = 0.908, CR = 0.929), and Job Stress (α = 0.907, CR = 0.926), indicating strong internal consistency. This suggests that the items used to measure these constructs strongly correlate, showing the scale's reliability. HRM Practices (α = 0.791, CR = 0.864), Job Performance (α = 0.811, CR = 0.875), and Smarter Working (α = 0.842, CR = 0.883) have high reliability, indicating that their indicators accurately measure their underlying constructs. The slightly lower Cronbach's Alpha for HRM Practices (0.791) is still within the acceptable range, indicating that while the construct is reliable, minor improvements in item alignment could improve its internal consistency (Henseler et al., 2015). These findings prove that the constructs used in this study are reliable, well-defined, and consistent across measurement items. The high Composite Reliability (CR) values demonstrate that each construct explains a significant portion of the variance relative to error, ensuring statistical modelling stability and dependability (Fornell &amp; Larcker, 1981). Finally, this study also shows the good reliability of the measurement scales.</w:t>
      </w:r>
    </w:p>
    <w:p w14:paraId="7F9A55CD"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4.9.</w:t>
      </w:r>
      <w:r w:rsidRPr="00227727">
        <w:rPr>
          <w:rFonts w:ascii="Arial" w:hAnsi="Arial" w:cs="Arial"/>
          <w:sz w:val="24"/>
          <w:szCs w:val="24"/>
          <w:lang w:bidi="ta-IN"/>
        </w:rPr>
        <w:t xml:space="preserve"> Cronbach Alpha and Composite Reliability</w:t>
      </w:r>
    </w:p>
    <w:tbl>
      <w:tblPr>
        <w:tblStyle w:val="ListTable6Colourful"/>
        <w:tblW w:w="5000" w:type="pct"/>
        <w:tblLook w:val="0620" w:firstRow="1" w:lastRow="0" w:firstColumn="0" w:lastColumn="0" w:noHBand="1" w:noVBand="1"/>
      </w:tblPr>
      <w:tblGrid>
        <w:gridCol w:w="6191"/>
        <w:gridCol w:w="2195"/>
        <w:gridCol w:w="2380"/>
      </w:tblGrid>
      <w:tr w:rsidR="00227727" w:rsidRPr="00227727" w14:paraId="384B3426"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3005" w:type="pct"/>
            <w:shd w:val="clear" w:color="auto" w:fill="auto"/>
            <w:noWrap/>
            <w:hideMark/>
          </w:tcPr>
          <w:p w14:paraId="5EDA8DE9" w14:textId="77777777" w:rsidR="00227727" w:rsidRPr="00227727" w:rsidRDefault="00227727" w:rsidP="00E772F3">
            <w:pPr>
              <w:spacing w:line="360" w:lineRule="auto"/>
              <w:rPr>
                <w:rFonts w:ascii="Arial" w:eastAsia="Times New Roman" w:hAnsi="Arial" w:cs="Arial"/>
                <w:sz w:val="20"/>
                <w:szCs w:val="20"/>
              </w:rPr>
            </w:pPr>
            <w:r w:rsidRPr="00227727">
              <w:rPr>
                <w:rFonts w:ascii="Arial" w:eastAsia="Times New Roman" w:hAnsi="Arial" w:cs="Arial"/>
                <w:sz w:val="20"/>
                <w:szCs w:val="20"/>
              </w:rPr>
              <w:t>Constructs</w:t>
            </w:r>
          </w:p>
        </w:tc>
        <w:tc>
          <w:tcPr>
            <w:tcW w:w="1149" w:type="pct"/>
            <w:shd w:val="clear" w:color="auto" w:fill="auto"/>
            <w:noWrap/>
            <w:hideMark/>
          </w:tcPr>
          <w:p w14:paraId="018307D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Cronbach alpha</w:t>
            </w:r>
          </w:p>
        </w:tc>
        <w:tc>
          <w:tcPr>
            <w:tcW w:w="846" w:type="pct"/>
            <w:shd w:val="clear" w:color="auto" w:fill="auto"/>
            <w:noWrap/>
            <w:hideMark/>
          </w:tcPr>
          <w:p w14:paraId="1ACFFDE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Composite reliability</w:t>
            </w:r>
          </w:p>
        </w:tc>
      </w:tr>
      <w:tr w:rsidR="00227727" w:rsidRPr="00227727" w14:paraId="0B936ABE" w14:textId="77777777" w:rsidTr="00E772F3">
        <w:trPr>
          <w:trHeight w:val="288"/>
        </w:trPr>
        <w:tc>
          <w:tcPr>
            <w:tcW w:w="3005" w:type="pct"/>
            <w:shd w:val="clear" w:color="auto" w:fill="auto"/>
            <w:noWrap/>
            <w:hideMark/>
          </w:tcPr>
          <w:p w14:paraId="381C568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Employees Wellbeing</w:t>
            </w:r>
          </w:p>
        </w:tc>
        <w:tc>
          <w:tcPr>
            <w:tcW w:w="1149" w:type="pct"/>
            <w:shd w:val="clear" w:color="auto" w:fill="auto"/>
            <w:noWrap/>
            <w:hideMark/>
          </w:tcPr>
          <w:p w14:paraId="322F7A0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0.923</w:t>
            </w:r>
          </w:p>
        </w:tc>
        <w:tc>
          <w:tcPr>
            <w:tcW w:w="846" w:type="pct"/>
            <w:shd w:val="clear" w:color="auto" w:fill="auto"/>
            <w:noWrap/>
            <w:hideMark/>
          </w:tcPr>
          <w:p w14:paraId="6269B00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0.938</w:t>
            </w:r>
          </w:p>
        </w:tc>
      </w:tr>
      <w:tr w:rsidR="00227727" w:rsidRPr="00227727" w14:paraId="18B88152" w14:textId="77777777" w:rsidTr="00E772F3">
        <w:trPr>
          <w:trHeight w:val="288"/>
        </w:trPr>
        <w:tc>
          <w:tcPr>
            <w:tcW w:w="3005" w:type="pct"/>
            <w:shd w:val="clear" w:color="auto" w:fill="auto"/>
            <w:noWrap/>
            <w:hideMark/>
          </w:tcPr>
          <w:p w14:paraId="3172BF3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 Practices</w:t>
            </w:r>
          </w:p>
        </w:tc>
        <w:tc>
          <w:tcPr>
            <w:tcW w:w="1149" w:type="pct"/>
            <w:shd w:val="clear" w:color="auto" w:fill="auto"/>
            <w:noWrap/>
            <w:hideMark/>
          </w:tcPr>
          <w:p w14:paraId="1A1E395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0.791</w:t>
            </w:r>
          </w:p>
        </w:tc>
        <w:tc>
          <w:tcPr>
            <w:tcW w:w="846" w:type="pct"/>
            <w:shd w:val="clear" w:color="auto" w:fill="auto"/>
            <w:noWrap/>
            <w:hideMark/>
          </w:tcPr>
          <w:p w14:paraId="148A4CF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0.864</w:t>
            </w:r>
          </w:p>
        </w:tc>
      </w:tr>
      <w:tr w:rsidR="00227727" w:rsidRPr="00227727" w14:paraId="6EDC7FA0" w14:textId="77777777" w:rsidTr="00E772F3">
        <w:trPr>
          <w:trHeight w:val="288"/>
        </w:trPr>
        <w:tc>
          <w:tcPr>
            <w:tcW w:w="3005" w:type="pct"/>
            <w:shd w:val="clear" w:color="auto" w:fill="auto"/>
            <w:noWrap/>
            <w:hideMark/>
          </w:tcPr>
          <w:p w14:paraId="7945E07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Performance</w:t>
            </w:r>
          </w:p>
        </w:tc>
        <w:tc>
          <w:tcPr>
            <w:tcW w:w="1149" w:type="pct"/>
            <w:shd w:val="clear" w:color="auto" w:fill="auto"/>
            <w:noWrap/>
            <w:hideMark/>
          </w:tcPr>
          <w:p w14:paraId="08C1C9A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0.811</w:t>
            </w:r>
          </w:p>
        </w:tc>
        <w:tc>
          <w:tcPr>
            <w:tcW w:w="846" w:type="pct"/>
            <w:shd w:val="clear" w:color="auto" w:fill="auto"/>
            <w:noWrap/>
            <w:hideMark/>
          </w:tcPr>
          <w:p w14:paraId="0D61754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0.875</w:t>
            </w:r>
          </w:p>
        </w:tc>
      </w:tr>
      <w:tr w:rsidR="00227727" w:rsidRPr="00227727" w14:paraId="6DC7CE65" w14:textId="77777777" w:rsidTr="00E772F3">
        <w:trPr>
          <w:trHeight w:val="288"/>
        </w:trPr>
        <w:tc>
          <w:tcPr>
            <w:tcW w:w="3005" w:type="pct"/>
            <w:shd w:val="clear" w:color="auto" w:fill="auto"/>
            <w:noWrap/>
            <w:hideMark/>
          </w:tcPr>
          <w:p w14:paraId="1C1919B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Satisfaction</w:t>
            </w:r>
          </w:p>
        </w:tc>
        <w:tc>
          <w:tcPr>
            <w:tcW w:w="1149" w:type="pct"/>
            <w:shd w:val="clear" w:color="auto" w:fill="auto"/>
            <w:noWrap/>
            <w:hideMark/>
          </w:tcPr>
          <w:p w14:paraId="09FCF77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0.908</w:t>
            </w:r>
          </w:p>
        </w:tc>
        <w:tc>
          <w:tcPr>
            <w:tcW w:w="846" w:type="pct"/>
            <w:shd w:val="clear" w:color="auto" w:fill="auto"/>
            <w:noWrap/>
            <w:hideMark/>
          </w:tcPr>
          <w:p w14:paraId="48AE9CF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0.929</w:t>
            </w:r>
          </w:p>
        </w:tc>
      </w:tr>
      <w:tr w:rsidR="00227727" w:rsidRPr="00227727" w14:paraId="6E30D524" w14:textId="77777777" w:rsidTr="00E772F3">
        <w:trPr>
          <w:trHeight w:val="288"/>
        </w:trPr>
        <w:tc>
          <w:tcPr>
            <w:tcW w:w="3005" w:type="pct"/>
            <w:shd w:val="clear" w:color="auto" w:fill="auto"/>
            <w:noWrap/>
            <w:hideMark/>
          </w:tcPr>
          <w:p w14:paraId="2545FAC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Stress</w:t>
            </w:r>
          </w:p>
        </w:tc>
        <w:tc>
          <w:tcPr>
            <w:tcW w:w="1149" w:type="pct"/>
            <w:shd w:val="clear" w:color="auto" w:fill="auto"/>
            <w:noWrap/>
            <w:hideMark/>
          </w:tcPr>
          <w:p w14:paraId="08B217A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0.907</w:t>
            </w:r>
          </w:p>
        </w:tc>
        <w:tc>
          <w:tcPr>
            <w:tcW w:w="846" w:type="pct"/>
            <w:shd w:val="clear" w:color="auto" w:fill="auto"/>
            <w:noWrap/>
            <w:hideMark/>
          </w:tcPr>
          <w:p w14:paraId="334160F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0.926</w:t>
            </w:r>
          </w:p>
        </w:tc>
      </w:tr>
      <w:tr w:rsidR="00227727" w:rsidRPr="00227727" w14:paraId="74842644" w14:textId="77777777" w:rsidTr="00E772F3">
        <w:trPr>
          <w:trHeight w:val="288"/>
        </w:trPr>
        <w:tc>
          <w:tcPr>
            <w:tcW w:w="3005" w:type="pct"/>
            <w:shd w:val="clear" w:color="auto" w:fill="auto"/>
            <w:noWrap/>
            <w:hideMark/>
          </w:tcPr>
          <w:p w14:paraId="626DACE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w:t>
            </w:r>
          </w:p>
        </w:tc>
        <w:tc>
          <w:tcPr>
            <w:tcW w:w="1149" w:type="pct"/>
            <w:shd w:val="clear" w:color="auto" w:fill="auto"/>
            <w:noWrap/>
            <w:hideMark/>
          </w:tcPr>
          <w:p w14:paraId="248E15A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0.842</w:t>
            </w:r>
          </w:p>
        </w:tc>
        <w:tc>
          <w:tcPr>
            <w:tcW w:w="846" w:type="pct"/>
            <w:shd w:val="clear" w:color="auto" w:fill="auto"/>
            <w:noWrap/>
            <w:hideMark/>
          </w:tcPr>
          <w:p w14:paraId="79E22A7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0.883</w:t>
            </w:r>
          </w:p>
        </w:tc>
      </w:tr>
    </w:tbl>
    <w:p w14:paraId="0CBCF578" w14:textId="77777777" w:rsidR="00227727" w:rsidRPr="00227727" w:rsidRDefault="00227727" w:rsidP="00227727">
      <w:pPr>
        <w:spacing w:line="360" w:lineRule="auto"/>
        <w:rPr>
          <w:rFonts w:ascii="Arial" w:hAnsi="Arial" w:cs="Arial"/>
          <w:sz w:val="24"/>
          <w:szCs w:val="24"/>
          <w:lang w:bidi="ta-IN"/>
        </w:rPr>
      </w:pPr>
    </w:p>
    <w:p w14:paraId="4821AC53" w14:textId="77777777" w:rsidR="00227727" w:rsidRPr="00227727" w:rsidRDefault="00227727" w:rsidP="00227727">
      <w:pPr>
        <w:pStyle w:val="Heading4"/>
        <w:spacing w:line="360" w:lineRule="auto"/>
        <w:rPr>
          <w:rFonts w:ascii="Arial" w:hAnsi="Arial" w:cs="Arial"/>
          <w:i w:val="0"/>
        </w:rPr>
      </w:pPr>
      <w:r w:rsidRPr="00227727">
        <w:rPr>
          <w:rFonts w:ascii="Arial" w:hAnsi="Arial" w:cs="Arial"/>
          <w:i w:val="0"/>
        </w:rPr>
        <w:t>Assessment of Model Fitness</w:t>
      </w:r>
    </w:p>
    <w:p w14:paraId="4EDCBAAD"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 xml:space="preserve">Model fit indices are thresholds for assessing the adequacy of a structural equation model by determining how well the hypothesised model matches the observed data. The model's acceptability is determined using key fit measures, including Standardised Root Mean Square Residual (SRMR), d_ULS, d_G, Chi-square, and Normed Fit Index (NFI). Hu and Bentler (1999) define an acceptable SRMR value as less than 0.08, indicating a good fit between the model and data. Table 4.10 shows an SRMR value of 0.057, well within the recommended threshold, confirming that the residual differences </w:t>
      </w:r>
      <w:r w:rsidRPr="00227727">
        <w:rPr>
          <w:rFonts w:ascii="Arial" w:hAnsi="Arial" w:cs="Arial"/>
          <w:sz w:val="24"/>
          <w:szCs w:val="24"/>
          <w:lang w:bidi="ta-IN"/>
        </w:rPr>
        <w:lastRenderedPageBreak/>
        <w:t>between the observed and predicted correlations are minimal. This suggests that the model is well-specified and free of significant misspecifications, supporting its validity (Hair et al., 2019).</w:t>
      </w:r>
    </w:p>
    <w:p w14:paraId="04F2667A"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Another important measure, d_ULS (Unweighted Least Squares Discrepancy), evaluates absolute model fit, with lower values indicating a better fit (Henseler et al., 2015). In this study, d_ULS is 1.960, which is acceptable because it falls below the conservative threshold of 2.50 (Garson, 2016). Similarly, d_G (Geodesic Discrepancy) is 0.797, indicating that the model closely approximates the true covariance structure of the data (Sarstedt et al., 2017). The Chi-square value (1800.245) is an overall measure of model fit, with lower values indicating a better fit. However, Chi-square is extremely sensitive to sample size, frequently resulting in over-rejection of models in large samples (Kline, 2015). Given this limitation, researchers frequently use alternative fit indices such as SRMR and NFI to provide a more balanced evaluation (Schermelleh-Engel et al., 2003).</w:t>
      </w:r>
    </w:p>
    <w:p w14:paraId="625211D0"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The Normed Fit Index (NFI) measures incremental fit, with values above 0.80 indicating reasonable fit and above 0.90 indicating strong model fit (Bentler &amp; Bonett, 1980). The NFI value is 0.833, which is within an acceptable range. The Q²predict values for Employees' Wellbeing (0.681), Job Performance (0.601), Job Satisfaction (0.671), and Job Stress (0.700) indicate the model has strong predictive relevance, with values above 0.50 indicating a meaningful ability to explain variance in the dependent constructs (Shmueli et al., 2016). Furthermore, the Root Mean Square Error (RMSE) and Mean Absolute Error (MAE) values for each construct (ranging from 0.551 to 0.639 for RMSE and 0.387 to 0.445 for MAE) confirm the model's predictive accuracy, which adds to its reliability (Sarstedt &amp; Danks, 2022). The model accurately predicts SRMR, d_ULS, d_G, NFI, and Q², meeting recommended thresholds. The findings indicate that the model adequately explains the relationships between constructs and has enough predictive accuracy for further hypothesis testing.</w:t>
      </w:r>
    </w:p>
    <w:p w14:paraId="01823AF3"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4.10.</w:t>
      </w:r>
      <w:r w:rsidRPr="00227727">
        <w:rPr>
          <w:rFonts w:ascii="Arial" w:hAnsi="Arial" w:cs="Arial"/>
          <w:sz w:val="24"/>
          <w:szCs w:val="24"/>
          <w:lang w:bidi="ta-IN"/>
        </w:rPr>
        <w:t xml:space="preserve"> Model fit indices</w:t>
      </w:r>
    </w:p>
    <w:tbl>
      <w:tblPr>
        <w:tblStyle w:val="ListTable6Colourful"/>
        <w:tblW w:w="5000" w:type="pct"/>
        <w:tblLook w:val="0620" w:firstRow="1" w:lastRow="0" w:firstColumn="0" w:lastColumn="0" w:noHBand="1" w:noVBand="1"/>
      </w:tblPr>
      <w:tblGrid>
        <w:gridCol w:w="4259"/>
        <w:gridCol w:w="1081"/>
        <w:gridCol w:w="540"/>
        <w:gridCol w:w="1245"/>
        <w:gridCol w:w="377"/>
        <w:gridCol w:w="1408"/>
        <w:gridCol w:w="213"/>
        <w:gridCol w:w="1643"/>
      </w:tblGrid>
      <w:tr w:rsidR="00227727" w:rsidRPr="00227727" w14:paraId="25DA24F0"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1978" w:type="pct"/>
            <w:shd w:val="clear" w:color="auto" w:fill="auto"/>
            <w:noWrap/>
            <w:hideMark/>
          </w:tcPr>
          <w:p w14:paraId="7C1C1C58" w14:textId="77777777" w:rsidR="00227727" w:rsidRPr="00227727" w:rsidRDefault="00227727" w:rsidP="00E772F3">
            <w:pPr>
              <w:spacing w:line="360" w:lineRule="auto"/>
              <w:rPr>
                <w:rFonts w:ascii="Arial" w:eastAsia="Times New Roman" w:hAnsi="Arial" w:cs="Arial"/>
                <w:sz w:val="20"/>
                <w:szCs w:val="20"/>
              </w:rPr>
            </w:pPr>
            <w:r w:rsidRPr="00227727">
              <w:rPr>
                <w:rFonts w:ascii="Arial" w:eastAsia="Times New Roman" w:hAnsi="Arial" w:cs="Arial"/>
                <w:sz w:val="20"/>
                <w:szCs w:val="20"/>
              </w:rPr>
              <w:t>Model Fit indices</w:t>
            </w:r>
          </w:p>
        </w:tc>
        <w:tc>
          <w:tcPr>
            <w:tcW w:w="753" w:type="pct"/>
            <w:gridSpan w:val="2"/>
          </w:tcPr>
          <w:p w14:paraId="5D78524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Saturated model</w:t>
            </w:r>
          </w:p>
        </w:tc>
        <w:tc>
          <w:tcPr>
            <w:tcW w:w="753" w:type="pct"/>
            <w:gridSpan w:val="2"/>
          </w:tcPr>
          <w:p w14:paraId="6BF9723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Q²predict</w:t>
            </w:r>
          </w:p>
        </w:tc>
        <w:tc>
          <w:tcPr>
            <w:tcW w:w="753" w:type="pct"/>
            <w:gridSpan w:val="2"/>
          </w:tcPr>
          <w:p w14:paraId="5B9E9A1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RMSE</w:t>
            </w:r>
          </w:p>
        </w:tc>
        <w:tc>
          <w:tcPr>
            <w:tcW w:w="764" w:type="pct"/>
            <w:shd w:val="clear" w:color="auto" w:fill="auto"/>
            <w:noWrap/>
            <w:hideMark/>
          </w:tcPr>
          <w:p w14:paraId="6E8956F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MAE</w:t>
            </w:r>
          </w:p>
        </w:tc>
      </w:tr>
      <w:tr w:rsidR="00227727" w:rsidRPr="00227727" w14:paraId="58822CE2" w14:textId="77777777" w:rsidTr="00E772F3">
        <w:trPr>
          <w:trHeight w:val="288"/>
        </w:trPr>
        <w:tc>
          <w:tcPr>
            <w:tcW w:w="1978" w:type="pct"/>
            <w:shd w:val="clear" w:color="auto" w:fill="auto"/>
            <w:noWrap/>
            <w:hideMark/>
          </w:tcPr>
          <w:p w14:paraId="3CC7D18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SRMR</w:t>
            </w:r>
          </w:p>
        </w:tc>
        <w:tc>
          <w:tcPr>
            <w:tcW w:w="753" w:type="pct"/>
            <w:gridSpan w:val="2"/>
          </w:tcPr>
          <w:p w14:paraId="58BEB0D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0.057</w:t>
            </w:r>
          </w:p>
        </w:tc>
        <w:tc>
          <w:tcPr>
            <w:tcW w:w="753" w:type="pct"/>
            <w:gridSpan w:val="2"/>
          </w:tcPr>
          <w:p w14:paraId="2692FECD" w14:textId="77777777" w:rsidR="00227727" w:rsidRPr="00227727" w:rsidRDefault="00227727" w:rsidP="00E772F3">
            <w:pPr>
              <w:spacing w:line="360" w:lineRule="auto"/>
              <w:jc w:val="center"/>
              <w:rPr>
                <w:rFonts w:ascii="Arial" w:eastAsia="Times New Roman" w:hAnsi="Arial" w:cs="Arial"/>
                <w:sz w:val="22"/>
              </w:rPr>
            </w:pPr>
          </w:p>
        </w:tc>
        <w:tc>
          <w:tcPr>
            <w:tcW w:w="753" w:type="pct"/>
            <w:gridSpan w:val="2"/>
          </w:tcPr>
          <w:p w14:paraId="7045B804" w14:textId="77777777" w:rsidR="00227727" w:rsidRPr="00227727" w:rsidRDefault="00227727" w:rsidP="00E772F3">
            <w:pPr>
              <w:spacing w:line="360" w:lineRule="auto"/>
              <w:jc w:val="center"/>
              <w:rPr>
                <w:rFonts w:ascii="Arial" w:eastAsia="Times New Roman" w:hAnsi="Arial" w:cs="Arial"/>
                <w:sz w:val="22"/>
              </w:rPr>
            </w:pPr>
          </w:p>
        </w:tc>
        <w:tc>
          <w:tcPr>
            <w:tcW w:w="764" w:type="pct"/>
            <w:shd w:val="clear" w:color="auto" w:fill="auto"/>
            <w:noWrap/>
          </w:tcPr>
          <w:p w14:paraId="3DB15E79"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2F92C07" w14:textId="77777777" w:rsidTr="00E772F3">
        <w:trPr>
          <w:trHeight w:val="288"/>
        </w:trPr>
        <w:tc>
          <w:tcPr>
            <w:tcW w:w="1978" w:type="pct"/>
            <w:shd w:val="clear" w:color="auto" w:fill="auto"/>
            <w:noWrap/>
            <w:hideMark/>
          </w:tcPr>
          <w:p w14:paraId="1500CDA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d_ULS</w:t>
            </w:r>
          </w:p>
        </w:tc>
        <w:tc>
          <w:tcPr>
            <w:tcW w:w="753" w:type="pct"/>
            <w:gridSpan w:val="2"/>
          </w:tcPr>
          <w:p w14:paraId="5ADDE9D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1.960</w:t>
            </w:r>
          </w:p>
        </w:tc>
        <w:tc>
          <w:tcPr>
            <w:tcW w:w="753" w:type="pct"/>
            <w:gridSpan w:val="2"/>
          </w:tcPr>
          <w:p w14:paraId="0E61A299" w14:textId="77777777" w:rsidR="00227727" w:rsidRPr="00227727" w:rsidRDefault="00227727" w:rsidP="00E772F3">
            <w:pPr>
              <w:spacing w:line="360" w:lineRule="auto"/>
              <w:jc w:val="center"/>
              <w:rPr>
                <w:rFonts w:ascii="Arial" w:eastAsia="Times New Roman" w:hAnsi="Arial" w:cs="Arial"/>
                <w:sz w:val="22"/>
              </w:rPr>
            </w:pPr>
          </w:p>
        </w:tc>
        <w:tc>
          <w:tcPr>
            <w:tcW w:w="753" w:type="pct"/>
            <w:gridSpan w:val="2"/>
          </w:tcPr>
          <w:p w14:paraId="52A77CDB" w14:textId="77777777" w:rsidR="00227727" w:rsidRPr="00227727" w:rsidRDefault="00227727" w:rsidP="00E772F3">
            <w:pPr>
              <w:spacing w:line="360" w:lineRule="auto"/>
              <w:jc w:val="center"/>
              <w:rPr>
                <w:rFonts w:ascii="Arial" w:eastAsia="Times New Roman" w:hAnsi="Arial" w:cs="Arial"/>
                <w:sz w:val="22"/>
              </w:rPr>
            </w:pPr>
          </w:p>
        </w:tc>
        <w:tc>
          <w:tcPr>
            <w:tcW w:w="764" w:type="pct"/>
            <w:shd w:val="clear" w:color="auto" w:fill="auto"/>
            <w:noWrap/>
          </w:tcPr>
          <w:p w14:paraId="7E6DBD04"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1CD08CD" w14:textId="77777777" w:rsidTr="00E772F3">
        <w:trPr>
          <w:trHeight w:val="288"/>
        </w:trPr>
        <w:tc>
          <w:tcPr>
            <w:tcW w:w="1978" w:type="pct"/>
            <w:shd w:val="clear" w:color="auto" w:fill="auto"/>
            <w:noWrap/>
            <w:hideMark/>
          </w:tcPr>
          <w:p w14:paraId="3C1ADFD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d_G</w:t>
            </w:r>
          </w:p>
        </w:tc>
        <w:tc>
          <w:tcPr>
            <w:tcW w:w="753" w:type="pct"/>
            <w:gridSpan w:val="2"/>
          </w:tcPr>
          <w:p w14:paraId="6E09DFA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0.797</w:t>
            </w:r>
          </w:p>
        </w:tc>
        <w:tc>
          <w:tcPr>
            <w:tcW w:w="753" w:type="pct"/>
            <w:gridSpan w:val="2"/>
          </w:tcPr>
          <w:p w14:paraId="0BD6958A" w14:textId="77777777" w:rsidR="00227727" w:rsidRPr="00227727" w:rsidRDefault="00227727" w:rsidP="00E772F3">
            <w:pPr>
              <w:spacing w:line="360" w:lineRule="auto"/>
              <w:jc w:val="center"/>
              <w:rPr>
                <w:rFonts w:ascii="Arial" w:eastAsia="Times New Roman" w:hAnsi="Arial" w:cs="Arial"/>
                <w:sz w:val="22"/>
              </w:rPr>
            </w:pPr>
          </w:p>
        </w:tc>
        <w:tc>
          <w:tcPr>
            <w:tcW w:w="753" w:type="pct"/>
            <w:gridSpan w:val="2"/>
          </w:tcPr>
          <w:p w14:paraId="423390B2" w14:textId="77777777" w:rsidR="00227727" w:rsidRPr="00227727" w:rsidRDefault="00227727" w:rsidP="00E772F3">
            <w:pPr>
              <w:spacing w:line="360" w:lineRule="auto"/>
              <w:jc w:val="center"/>
              <w:rPr>
                <w:rFonts w:ascii="Arial" w:eastAsia="Times New Roman" w:hAnsi="Arial" w:cs="Arial"/>
                <w:sz w:val="22"/>
              </w:rPr>
            </w:pPr>
          </w:p>
        </w:tc>
        <w:tc>
          <w:tcPr>
            <w:tcW w:w="764" w:type="pct"/>
            <w:shd w:val="clear" w:color="auto" w:fill="auto"/>
            <w:noWrap/>
          </w:tcPr>
          <w:p w14:paraId="4F42D408"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37184A87" w14:textId="77777777" w:rsidTr="00E772F3">
        <w:trPr>
          <w:trHeight w:val="288"/>
        </w:trPr>
        <w:tc>
          <w:tcPr>
            <w:tcW w:w="1978" w:type="pct"/>
            <w:shd w:val="clear" w:color="auto" w:fill="auto"/>
            <w:noWrap/>
            <w:hideMark/>
          </w:tcPr>
          <w:p w14:paraId="41D78EC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Chi-square</w:t>
            </w:r>
          </w:p>
        </w:tc>
        <w:tc>
          <w:tcPr>
            <w:tcW w:w="753" w:type="pct"/>
            <w:gridSpan w:val="2"/>
          </w:tcPr>
          <w:p w14:paraId="058CDD6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1800.245</w:t>
            </w:r>
          </w:p>
        </w:tc>
        <w:tc>
          <w:tcPr>
            <w:tcW w:w="753" w:type="pct"/>
            <w:gridSpan w:val="2"/>
          </w:tcPr>
          <w:p w14:paraId="081791D7" w14:textId="77777777" w:rsidR="00227727" w:rsidRPr="00227727" w:rsidRDefault="00227727" w:rsidP="00E772F3">
            <w:pPr>
              <w:spacing w:line="360" w:lineRule="auto"/>
              <w:jc w:val="center"/>
              <w:rPr>
                <w:rFonts w:ascii="Arial" w:eastAsia="Times New Roman" w:hAnsi="Arial" w:cs="Arial"/>
                <w:sz w:val="22"/>
              </w:rPr>
            </w:pPr>
          </w:p>
        </w:tc>
        <w:tc>
          <w:tcPr>
            <w:tcW w:w="753" w:type="pct"/>
            <w:gridSpan w:val="2"/>
          </w:tcPr>
          <w:p w14:paraId="0B42A685" w14:textId="77777777" w:rsidR="00227727" w:rsidRPr="00227727" w:rsidRDefault="00227727" w:rsidP="00E772F3">
            <w:pPr>
              <w:spacing w:line="360" w:lineRule="auto"/>
              <w:jc w:val="center"/>
              <w:rPr>
                <w:rFonts w:ascii="Arial" w:eastAsia="Times New Roman" w:hAnsi="Arial" w:cs="Arial"/>
                <w:sz w:val="22"/>
              </w:rPr>
            </w:pPr>
          </w:p>
        </w:tc>
        <w:tc>
          <w:tcPr>
            <w:tcW w:w="764" w:type="pct"/>
            <w:shd w:val="clear" w:color="auto" w:fill="auto"/>
            <w:noWrap/>
          </w:tcPr>
          <w:p w14:paraId="16FB05C0"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7DF66886" w14:textId="77777777" w:rsidTr="00E772F3">
        <w:trPr>
          <w:trHeight w:val="288"/>
        </w:trPr>
        <w:tc>
          <w:tcPr>
            <w:tcW w:w="1978" w:type="pct"/>
            <w:shd w:val="clear" w:color="auto" w:fill="auto"/>
            <w:noWrap/>
            <w:hideMark/>
          </w:tcPr>
          <w:p w14:paraId="39EFE43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NFI</w:t>
            </w:r>
          </w:p>
        </w:tc>
        <w:tc>
          <w:tcPr>
            <w:tcW w:w="753" w:type="pct"/>
            <w:gridSpan w:val="2"/>
          </w:tcPr>
          <w:p w14:paraId="43134DF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0.833</w:t>
            </w:r>
          </w:p>
        </w:tc>
        <w:tc>
          <w:tcPr>
            <w:tcW w:w="753" w:type="pct"/>
            <w:gridSpan w:val="2"/>
          </w:tcPr>
          <w:p w14:paraId="56A33F8B" w14:textId="77777777" w:rsidR="00227727" w:rsidRPr="00227727" w:rsidRDefault="00227727" w:rsidP="00E772F3">
            <w:pPr>
              <w:spacing w:line="360" w:lineRule="auto"/>
              <w:jc w:val="center"/>
              <w:rPr>
                <w:rFonts w:ascii="Arial" w:eastAsia="Times New Roman" w:hAnsi="Arial" w:cs="Arial"/>
                <w:sz w:val="22"/>
              </w:rPr>
            </w:pPr>
          </w:p>
        </w:tc>
        <w:tc>
          <w:tcPr>
            <w:tcW w:w="753" w:type="pct"/>
            <w:gridSpan w:val="2"/>
          </w:tcPr>
          <w:p w14:paraId="4FC99B86" w14:textId="77777777" w:rsidR="00227727" w:rsidRPr="00227727" w:rsidRDefault="00227727" w:rsidP="00E772F3">
            <w:pPr>
              <w:spacing w:line="360" w:lineRule="auto"/>
              <w:jc w:val="center"/>
              <w:rPr>
                <w:rFonts w:ascii="Arial" w:eastAsia="Times New Roman" w:hAnsi="Arial" w:cs="Arial"/>
                <w:sz w:val="22"/>
              </w:rPr>
            </w:pPr>
          </w:p>
        </w:tc>
        <w:tc>
          <w:tcPr>
            <w:tcW w:w="764" w:type="pct"/>
            <w:shd w:val="clear" w:color="auto" w:fill="auto"/>
            <w:noWrap/>
          </w:tcPr>
          <w:p w14:paraId="04605054" w14:textId="77777777" w:rsidR="00227727" w:rsidRPr="00227727" w:rsidRDefault="00227727" w:rsidP="00E772F3">
            <w:pPr>
              <w:spacing w:line="360" w:lineRule="auto"/>
              <w:jc w:val="center"/>
              <w:rPr>
                <w:rFonts w:ascii="Arial" w:eastAsia="Times New Roman" w:hAnsi="Arial" w:cs="Arial"/>
                <w:sz w:val="22"/>
              </w:rPr>
            </w:pPr>
          </w:p>
        </w:tc>
      </w:tr>
      <w:tr w:rsidR="00227727" w:rsidRPr="00227727" w14:paraId="58ECEAE4" w14:textId="77777777" w:rsidTr="00E772F3">
        <w:trPr>
          <w:trHeight w:val="288"/>
        </w:trPr>
        <w:tc>
          <w:tcPr>
            <w:tcW w:w="2480" w:type="pct"/>
            <w:gridSpan w:val="2"/>
            <w:noWrap/>
            <w:hideMark/>
          </w:tcPr>
          <w:p w14:paraId="7114DDD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Employees Wellbeing</w:t>
            </w:r>
          </w:p>
        </w:tc>
        <w:tc>
          <w:tcPr>
            <w:tcW w:w="829" w:type="pct"/>
            <w:gridSpan w:val="2"/>
            <w:noWrap/>
            <w:hideMark/>
          </w:tcPr>
          <w:p w14:paraId="488FFA1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0.681</w:t>
            </w:r>
          </w:p>
        </w:tc>
        <w:tc>
          <w:tcPr>
            <w:tcW w:w="829" w:type="pct"/>
            <w:gridSpan w:val="2"/>
            <w:noWrap/>
            <w:hideMark/>
          </w:tcPr>
          <w:p w14:paraId="567A34F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0.567</w:t>
            </w:r>
          </w:p>
        </w:tc>
        <w:tc>
          <w:tcPr>
            <w:tcW w:w="862" w:type="pct"/>
            <w:gridSpan w:val="2"/>
            <w:noWrap/>
            <w:hideMark/>
          </w:tcPr>
          <w:p w14:paraId="294F0E8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0.407</w:t>
            </w:r>
          </w:p>
        </w:tc>
      </w:tr>
      <w:tr w:rsidR="00227727" w:rsidRPr="00227727" w14:paraId="5EE36E21" w14:textId="77777777" w:rsidTr="00E772F3">
        <w:trPr>
          <w:trHeight w:val="288"/>
        </w:trPr>
        <w:tc>
          <w:tcPr>
            <w:tcW w:w="2480" w:type="pct"/>
            <w:gridSpan w:val="2"/>
            <w:noWrap/>
            <w:hideMark/>
          </w:tcPr>
          <w:p w14:paraId="13FC203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Performance</w:t>
            </w:r>
          </w:p>
        </w:tc>
        <w:tc>
          <w:tcPr>
            <w:tcW w:w="829" w:type="pct"/>
            <w:gridSpan w:val="2"/>
            <w:noWrap/>
            <w:hideMark/>
          </w:tcPr>
          <w:p w14:paraId="4A6CD3B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0.601</w:t>
            </w:r>
          </w:p>
        </w:tc>
        <w:tc>
          <w:tcPr>
            <w:tcW w:w="829" w:type="pct"/>
            <w:gridSpan w:val="2"/>
            <w:noWrap/>
            <w:hideMark/>
          </w:tcPr>
          <w:p w14:paraId="4C0214D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0.639</w:t>
            </w:r>
          </w:p>
        </w:tc>
        <w:tc>
          <w:tcPr>
            <w:tcW w:w="862" w:type="pct"/>
            <w:gridSpan w:val="2"/>
            <w:noWrap/>
            <w:hideMark/>
          </w:tcPr>
          <w:p w14:paraId="06E6CA1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0.445</w:t>
            </w:r>
          </w:p>
        </w:tc>
      </w:tr>
      <w:tr w:rsidR="00227727" w:rsidRPr="00227727" w14:paraId="34837C4A" w14:textId="77777777" w:rsidTr="00E772F3">
        <w:trPr>
          <w:trHeight w:val="288"/>
        </w:trPr>
        <w:tc>
          <w:tcPr>
            <w:tcW w:w="2480" w:type="pct"/>
            <w:gridSpan w:val="2"/>
            <w:noWrap/>
            <w:hideMark/>
          </w:tcPr>
          <w:p w14:paraId="5604D46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Satisfaction</w:t>
            </w:r>
          </w:p>
        </w:tc>
        <w:tc>
          <w:tcPr>
            <w:tcW w:w="829" w:type="pct"/>
            <w:gridSpan w:val="2"/>
            <w:noWrap/>
            <w:hideMark/>
          </w:tcPr>
          <w:p w14:paraId="1255939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0.671</w:t>
            </w:r>
          </w:p>
        </w:tc>
        <w:tc>
          <w:tcPr>
            <w:tcW w:w="829" w:type="pct"/>
            <w:gridSpan w:val="2"/>
            <w:noWrap/>
            <w:hideMark/>
          </w:tcPr>
          <w:p w14:paraId="780CD53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0.578</w:t>
            </w:r>
          </w:p>
        </w:tc>
        <w:tc>
          <w:tcPr>
            <w:tcW w:w="862" w:type="pct"/>
            <w:gridSpan w:val="2"/>
            <w:noWrap/>
            <w:hideMark/>
          </w:tcPr>
          <w:p w14:paraId="1F5C570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0.387</w:t>
            </w:r>
          </w:p>
        </w:tc>
      </w:tr>
      <w:tr w:rsidR="00227727" w:rsidRPr="00227727" w14:paraId="2590EF2C" w14:textId="77777777" w:rsidTr="00E772F3">
        <w:trPr>
          <w:trHeight w:val="288"/>
        </w:trPr>
        <w:tc>
          <w:tcPr>
            <w:tcW w:w="2480" w:type="pct"/>
            <w:gridSpan w:val="2"/>
            <w:noWrap/>
            <w:hideMark/>
          </w:tcPr>
          <w:p w14:paraId="3343E71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Stress</w:t>
            </w:r>
          </w:p>
        </w:tc>
        <w:tc>
          <w:tcPr>
            <w:tcW w:w="829" w:type="pct"/>
            <w:gridSpan w:val="2"/>
            <w:noWrap/>
            <w:hideMark/>
          </w:tcPr>
          <w:p w14:paraId="4F045C4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0.700</w:t>
            </w:r>
          </w:p>
        </w:tc>
        <w:tc>
          <w:tcPr>
            <w:tcW w:w="829" w:type="pct"/>
            <w:gridSpan w:val="2"/>
            <w:noWrap/>
            <w:hideMark/>
          </w:tcPr>
          <w:p w14:paraId="755404B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0.551</w:t>
            </w:r>
          </w:p>
        </w:tc>
        <w:tc>
          <w:tcPr>
            <w:tcW w:w="862" w:type="pct"/>
            <w:gridSpan w:val="2"/>
            <w:noWrap/>
            <w:hideMark/>
          </w:tcPr>
          <w:p w14:paraId="3346289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0.389</w:t>
            </w:r>
          </w:p>
        </w:tc>
      </w:tr>
    </w:tbl>
    <w:p w14:paraId="4434202F" w14:textId="77777777" w:rsidR="00227727" w:rsidRPr="00227727" w:rsidRDefault="00227727" w:rsidP="00227727">
      <w:pPr>
        <w:spacing w:line="360" w:lineRule="auto"/>
        <w:rPr>
          <w:rFonts w:ascii="Arial" w:hAnsi="Arial" w:cs="Arial"/>
          <w:sz w:val="24"/>
          <w:szCs w:val="24"/>
          <w:lang w:bidi="ta-IN"/>
        </w:rPr>
      </w:pPr>
    </w:p>
    <w:p w14:paraId="1EC38391" w14:textId="77777777" w:rsidR="00227727" w:rsidRPr="00227727" w:rsidRDefault="00227727" w:rsidP="00693454">
      <w:pPr>
        <w:pStyle w:val="Heading3"/>
      </w:pPr>
      <w:r w:rsidRPr="00227727">
        <w:t>Assessment of Path Model</w:t>
      </w:r>
    </w:p>
    <w:p w14:paraId="4D9B1902"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eastAsia="Times New Roman" w:hAnsi="Arial" w:cs="Arial"/>
          <w:color w:val="0E101A"/>
          <w:sz w:val="24"/>
          <w:szCs w:val="24"/>
        </w:rPr>
        <w:t xml:space="preserve">This study used the bootstrapping technique with 5000 sub-samples. The path model assessment provides the strength and significance of the construct relationships (see Table 11, Table 12 and Table </w:t>
      </w:r>
      <w:r w:rsidRPr="00227727">
        <w:rPr>
          <w:rFonts w:ascii="Arial" w:eastAsia="Times New Roman" w:hAnsi="Arial" w:cs="Arial"/>
          <w:color w:val="0E101A"/>
          <w:sz w:val="24"/>
          <w:szCs w:val="24"/>
        </w:rPr>
        <w:lastRenderedPageBreak/>
        <w:t xml:space="preserve">13). Path coefficients (β values), standard deviations (SD), t-values, p-values, </w:t>
      </w:r>
      <w:r w:rsidRPr="00227727">
        <w:rPr>
          <w:rFonts w:ascii="Arial" w:eastAsia="Times New Roman" w:hAnsi="Arial" w:cs="Arial"/>
          <w:i/>
          <w:iCs/>
          <w:color w:val="0E101A"/>
          <w:sz w:val="24"/>
          <w:szCs w:val="24"/>
        </w:rPr>
        <w:t>R²</w:t>
      </w:r>
      <w:r w:rsidRPr="00227727">
        <w:rPr>
          <w:rFonts w:ascii="Arial" w:eastAsia="Times New Roman" w:hAnsi="Arial" w:cs="Arial"/>
          <w:color w:val="0E101A"/>
          <w:sz w:val="24"/>
          <w:szCs w:val="24"/>
        </w:rPr>
        <w:t xml:space="preserve">, and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are used to test research hypotheses and assess their statistical significance. A hypothesis is supported if the p-value is less than 0.05. Cohen (1988) guidelines are used to interpret the effect size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which ranges from 0.02-0.15 for small, 0.15-0.35 for medium, and &gt;0.35 for large. The coefficient of determination (</w:t>
      </w:r>
      <w:r w:rsidRPr="00227727">
        <w:rPr>
          <w:rFonts w:ascii="Arial" w:eastAsia="Times New Roman" w:hAnsi="Arial" w:cs="Arial"/>
          <w:i/>
          <w:iCs/>
          <w:color w:val="0E101A"/>
          <w:sz w:val="24"/>
          <w:szCs w:val="24"/>
        </w:rPr>
        <w:t>R²</w:t>
      </w:r>
      <w:r w:rsidRPr="00227727">
        <w:rPr>
          <w:rFonts w:ascii="Arial" w:eastAsia="Times New Roman" w:hAnsi="Arial" w:cs="Arial"/>
          <w:color w:val="0E101A"/>
          <w:sz w:val="24"/>
          <w:szCs w:val="24"/>
        </w:rPr>
        <w:t>) represents the proportion of variance in the dependent variable.</w:t>
      </w:r>
    </w:p>
    <w:p w14:paraId="521B3891" w14:textId="77777777" w:rsidR="00227727" w:rsidRPr="00227727" w:rsidRDefault="00227727" w:rsidP="00227727">
      <w:pPr>
        <w:pStyle w:val="Heading4"/>
        <w:spacing w:line="360" w:lineRule="auto"/>
        <w:rPr>
          <w:rFonts w:ascii="Arial" w:hAnsi="Arial" w:cs="Arial"/>
        </w:rPr>
      </w:pPr>
      <w:r w:rsidRPr="00227727">
        <w:rPr>
          <w:rFonts w:ascii="Arial" w:hAnsi="Arial" w:cs="Arial"/>
        </w:rPr>
        <w:t>Direct Effects</w:t>
      </w:r>
    </w:p>
    <w:p w14:paraId="79560084" w14:textId="77777777" w:rsidR="00227727" w:rsidRPr="00227727" w:rsidRDefault="00227727" w:rsidP="00227727">
      <w:pPr>
        <w:spacing w:after="0" w:line="360" w:lineRule="auto"/>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This section discusses the direct effects. Smarter Working significantly improves job performance (β = 0.321, SD = 0.080, t-value = 4.016, p &lt; 0.000, </w:t>
      </w:r>
      <w:r w:rsidRPr="00227727">
        <w:rPr>
          <w:rFonts w:ascii="Arial" w:eastAsia="Times New Roman" w:hAnsi="Arial" w:cs="Arial"/>
          <w:i/>
          <w:iCs/>
          <w:color w:val="0E101A"/>
          <w:sz w:val="24"/>
          <w:szCs w:val="24"/>
        </w:rPr>
        <w:t xml:space="preserve">f² </w:t>
      </w:r>
      <w:r w:rsidRPr="00227727">
        <w:rPr>
          <w:rFonts w:ascii="Arial" w:eastAsia="Times New Roman" w:hAnsi="Arial" w:cs="Arial"/>
          <w:color w:val="0E101A"/>
          <w:sz w:val="24"/>
          <w:szCs w:val="24"/>
        </w:rPr>
        <w:t xml:space="preserve">= 0.088, </w:t>
      </w:r>
      <w:r w:rsidRPr="00227727">
        <w:rPr>
          <w:rFonts w:ascii="Arial" w:eastAsia="Times New Roman" w:hAnsi="Arial" w:cs="Arial"/>
          <w:i/>
          <w:iCs/>
          <w:color w:val="0E101A"/>
          <w:sz w:val="24"/>
          <w:szCs w:val="24"/>
        </w:rPr>
        <w:t>R²</w:t>
      </w:r>
      <w:r w:rsidRPr="00227727">
        <w:rPr>
          <w:rFonts w:ascii="Arial" w:eastAsia="Times New Roman" w:hAnsi="Arial" w:cs="Arial"/>
          <w:color w:val="0E101A"/>
          <w:sz w:val="24"/>
          <w:szCs w:val="24"/>
        </w:rPr>
        <w:t xml:space="preserve"> = 0.678), supporting the hypothesis (H1). This suggests that organisations that implement Smarter Working practices see significant improvements in employee performance, consistent with previous research emphasising the importance of flexibility and digital transformation in increasing productivity. The moderate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value (0.088) suggests that Smarter Working has a small-to-moderate impact on job performance. Smarter working significantly impacts employee wellbeing (β = 0.598, SD = 0.051, t-value = 11.745, p &lt; 0.000,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2.168, </w:t>
      </w:r>
      <w:r w:rsidRPr="00227727">
        <w:rPr>
          <w:rFonts w:ascii="Arial" w:eastAsia="Times New Roman" w:hAnsi="Arial" w:cs="Arial"/>
          <w:i/>
          <w:iCs/>
          <w:color w:val="0E101A"/>
          <w:sz w:val="24"/>
          <w:szCs w:val="24"/>
        </w:rPr>
        <w:t>R²</w:t>
      </w:r>
      <w:r w:rsidRPr="00227727">
        <w:rPr>
          <w:rFonts w:ascii="Arial" w:eastAsia="Times New Roman" w:hAnsi="Arial" w:cs="Arial"/>
          <w:color w:val="0E101A"/>
          <w:sz w:val="24"/>
          <w:szCs w:val="24"/>
        </w:rPr>
        <w:t xml:space="preserve"> = 0.684), supporting hypothesis 2. Smarter working significantly impacts employee wellbeing, highlighting its significance in the modern workplace, as indicated by the high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value of 2.168.</w:t>
      </w:r>
    </w:p>
    <w:p w14:paraId="735ED318" w14:textId="77777777" w:rsidR="00227727" w:rsidRPr="00227727" w:rsidRDefault="00227727" w:rsidP="00227727">
      <w:pPr>
        <w:spacing w:after="0" w:line="360" w:lineRule="auto"/>
        <w:jc w:val="both"/>
        <w:rPr>
          <w:rFonts w:ascii="Arial" w:eastAsia="Times New Roman" w:hAnsi="Arial" w:cs="Arial"/>
          <w:color w:val="0E101A"/>
          <w:sz w:val="24"/>
          <w:szCs w:val="24"/>
        </w:rPr>
      </w:pPr>
      <w:r w:rsidRPr="00227727">
        <w:rPr>
          <w:rFonts w:ascii="Arial" w:eastAsia="Times New Roman" w:hAnsi="Arial" w:cs="Arial"/>
          <w:color w:val="0E101A"/>
          <w:sz w:val="24"/>
          <w:szCs w:val="24"/>
        </w:rPr>
        <w:tab/>
      </w:r>
      <w:r w:rsidRPr="00227727">
        <w:rPr>
          <w:rFonts w:ascii="Arial" w:hAnsi="Arial" w:cs="Arial"/>
          <w:sz w:val="24"/>
          <w:szCs w:val="24"/>
        </w:rPr>
        <w:t xml:space="preserve">The findings show that Smarter Working practices significantly impact critical employee outcomes, specifically job performance and wellbeing, providing compelling evidence for their implementation in modern organisations. Flexible work arrangements and digital transformation strategies improve job performance significantly, as evidenced by a positive β coefficient and moderate effect size. This increases efficiency, easier resource access, and greater autonomy and motivation to achieve goals. The </w:t>
      </w:r>
      <w:r w:rsidRPr="00227727">
        <w:rPr>
          <w:rStyle w:val="Emphasis"/>
          <w:rFonts w:ascii="Arial" w:hAnsi="Arial" w:cs="Arial"/>
          <w:color w:val="0E101A"/>
          <w:sz w:val="24"/>
          <w:szCs w:val="24"/>
        </w:rPr>
        <w:t>f²</w:t>
      </w:r>
      <w:r w:rsidRPr="00227727">
        <w:rPr>
          <w:rFonts w:ascii="Arial" w:hAnsi="Arial" w:cs="Arial"/>
          <w:sz w:val="24"/>
          <w:szCs w:val="24"/>
        </w:rPr>
        <w:t xml:space="preserve"> value suggests a small-to-moderate impact, but even incremental performance improvements can yield significant organisational benefits over time, especially in highly dynamic or competitive environments. Smarter working significantly impacts employee wellbeing, as evidenced by a strong β coefficient and high f² value. This highlights the importance of work design in improving mental health, job satisfaction, and work-life balance. This relationship suggests that when organisations prioritise flexible, supportive, and digitally enabled working models, employees' overall work and life quality improves significantly. Thus, the evidence clearly shows that implementing Smarter Working is more than just a matter of operational efficiency; it is a strategic necessity for organisations seeking to cultivate a high-performing, resilient, and engaged workforce capable of sustaining success in an evolving work landscape.</w:t>
      </w:r>
    </w:p>
    <w:p w14:paraId="17D52566"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Smarter Working improves job satisfaction (β = 0.821, SD = 0.022, t-value = 37.904, p &lt; 0.000,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2.068, </w:t>
      </w:r>
      <w:r w:rsidRPr="00227727">
        <w:rPr>
          <w:rFonts w:ascii="Arial" w:eastAsia="Times New Roman" w:hAnsi="Arial" w:cs="Arial"/>
          <w:i/>
          <w:iCs/>
          <w:color w:val="0E101A"/>
          <w:sz w:val="24"/>
          <w:szCs w:val="24"/>
        </w:rPr>
        <w:t>R²</w:t>
      </w:r>
      <w:r w:rsidRPr="00227727">
        <w:rPr>
          <w:rFonts w:ascii="Arial" w:eastAsia="Times New Roman" w:hAnsi="Arial" w:cs="Arial"/>
          <w:color w:val="0E101A"/>
          <w:sz w:val="24"/>
          <w:szCs w:val="24"/>
        </w:rPr>
        <w:t xml:space="preserve"> = 0.674), supporting H2a. This large effect size confirms that Smarter Working significantly increases job satisfaction, most likely due to increased autonomy and flexibility. Smarter working was expected to have a negative impact on Job Stress, but the study found a strong positive relationship (β = 0.811, SD = 0.020, t-value = 39.728, p &lt; 0.000,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0.492, </w:t>
      </w:r>
      <w:r w:rsidRPr="00227727">
        <w:rPr>
          <w:rFonts w:ascii="Arial" w:eastAsia="Times New Roman" w:hAnsi="Arial" w:cs="Arial"/>
          <w:i/>
          <w:iCs/>
          <w:color w:val="0E101A"/>
          <w:sz w:val="24"/>
          <w:szCs w:val="24"/>
        </w:rPr>
        <w:t>R²</w:t>
      </w:r>
      <w:r w:rsidRPr="00227727">
        <w:rPr>
          <w:rFonts w:ascii="Arial" w:eastAsia="Times New Roman" w:hAnsi="Arial" w:cs="Arial"/>
          <w:color w:val="0E101A"/>
          <w:sz w:val="24"/>
          <w:szCs w:val="24"/>
        </w:rPr>
        <w:t xml:space="preserve"> = 0.709), resulting in the rejection of H2b. This suggests that Smarter Working improves wellbeing and satisfaction, it may </w:t>
      </w:r>
      <w:r w:rsidRPr="00227727">
        <w:rPr>
          <w:rFonts w:ascii="Arial" w:eastAsia="Times New Roman" w:hAnsi="Arial" w:cs="Arial"/>
          <w:color w:val="0E101A"/>
          <w:sz w:val="24"/>
          <w:szCs w:val="24"/>
        </w:rPr>
        <w:lastRenderedPageBreak/>
        <w:t>also raise stress levels, possibly due to increased workload expectations, digital over-connectivity, or difficulty maintaining work-life balance.</w:t>
      </w:r>
    </w:p>
    <w:p w14:paraId="67088043" w14:textId="049EF99F"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hAnsi="Arial" w:cs="Arial"/>
          <w:sz w:val="24"/>
          <w:szCs w:val="24"/>
        </w:rPr>
        <w:t>The findings paint a good but insightful picture of the effects of Smarter Working on employee outcomes, providing compelling arguments for its benefits and unintended consequences. Smarter Working significantly impacts job satisfaction, as evidenced by a high β coefficient, low standard error, and large</w:t>
      </w:r>
      <w:r w:rsidRPr="00227727">
        <w:rPr>
          <w:rStyle w:val="Emphasis"/>
          <w:rFonts w:ascii="Arial" w:hAnsi="Arial" w:cs="Arial"/>
          <w:color w:val="0E101A"/>
          <w:sz w:val="24"/>
          <w:szCs w:val="24"/>
        </w:rPr>
        <w:t xml:space="preserve"> f²</w:t>
      </w:r>
      <w:r w:rsidRPr="00227727">
        <w:rPr>
          <w:rFonts w:ascii="Arial" w:hAnsi="Arial" w:cs="Arial"/>
          <w:sz w:val="24"/>
          <w:szCs w:val="24"/>
        </w:rPr>
        <w:t xml:space="preserve"> value. Flexible work arrangements significantly increase employee satisfaction. This outcome can be attributed to employees' increased autonomy, flexibility, and sense of control under Smarter Working models, highlighting the importance of such practices in promoting positive emotional and professional engagement. However, contrary to initial expectations, Smarter Working was found to have a strong positive relationship with job stress, invalidating the hypothesis that it would reduce stress. The large β value and significant </w:t>
      </w:r>
      <w:r w:rsidRPr="00227727">
        <w:rPr>
          <w:rStyle w:val="Emphasis"/>
          <w:rFonts w:ascii="Arial" w:hAnsi="Arial" w:cs="Arial"/>
          <w:color w:val="0E101A"/>
          <w:sz w:val="24"/>
          <w:szCs w:val="24"/>
        </w:rPr>
        <w:t>f²</w:t>
      </w:r>
      <w:r w:rsidRPr="00227727">
        <w:rPr>
          <w:rFonts w:ascii="Arial" w:hAnsi="Arial" w:cs="Arial"/>
          <w:sz w:val="24"/>
          <w:szCs w:val="24"/>
        </w:rPr>
        <w:t xml:space="preserve"> effect size for stress </w:t>
      </w:r>
      <w:r w:rsidR="00351EFC" w:rsidRPr="00227727">
        <w:rPr>
          <w:rFonts w:ascii="Arial" w:hAnsi="Arial" w:cs="Arial"/>
          <w:sz w:val="24"/>
          <w:szCs w:val="24"/>
        </w:rPr>
        <w:t>suggests</w:t>
      </w:r>
      <w:r w:rsidRPr="00227727">
        <w:rPr>
          <w:rFonts w:ascii="Arial" w:hAnsi="Arial" w:cs="Arial"/>
          <w:sz w:val="24"/>
          <w:szCs w:val="24"/>
        </w:rPr>
        <w:t xml:space="preserve"> that while employees appreciate the benefits of Smarter Working, it also introduces new stressors, likely stemming from blurred boundaries between work and personal life, heightened performance demands, and the challenges associated with digital connectivity and constant availability. These findings support a nuanced understanding: while Smarter Working significantly improves satisfaction, organisations must actively manage its potential to inadvertently increase stress by implementing supportive policies, clear work-life boundaries, and stress management resources to maximise its benefits for employee wellbeing and organisational performance fully.</w:t>
      </w:r>
    </w:p>
    <w:p w14:paraId="4C2D6BBF"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Employee well-being positively impacts job performance (β = 0.395, SD = 0.085, t-value = 4.628, p &lt; 0.000,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0.061), supporting H3. This is consistent with research showing that employees with high levels of wellbeing are more engaged, motivated, and productive. Improving employee wellbeing can improve job performance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0.061), indicating a small but significant impact. Job satisfaction has no significant impact on job performance (β = 0.011, SD = 0.096, t-value = 0.116, p = 0.908,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0.000), resulting in the rejection of H3a. </w:t>
      </w:r>
    </w:p>
    <w:p w14:paraId="058B5D53"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The findings shed light on the relationships between employee wellbeing, job satisfaction, and performance, providing compelling evidence for a strategic organisational focus. Employee wellbeing significantly impacts job performance, as evidenced by a positive β coefficient and statistically significant t-value. Higher levels of wellbeing lead to increased engagement, motivation, and productivity at work. Although the </w:t>
      </w:r>
      <w:r w:rsidRPr="00227727">
        <w:rPr>
          <w:rFonts w:ascii="Arial" w:eastAsia="Times New Roman" w:hAnsi="Arial" w:cs="Arial"/>
          <w:i/>
          <w:color w:val="0E101A"/>
          <w:sz w:val="24"/>
          <w:szCs w:val="24"/>
        </w:rPr>
        <w:t>f²</w:t>
      </w:r>
      <w:r w:rsidRPr="00227727">
        <w:rPr>
          <w:rFonts w:ascii="Arial" w:eastAsia="Times New Roman" w:hAnsi="Arial" w:cs="Arial"/>
          <w:color w:val="0E101A"/>
          <w:sz w:val="24"/>
          <w:szCs w:val="24"/>
        </w:rPr>
        <w:t xml:space="preserve"> value indicates a small effect size, the relationship highlights that even modest improvements in wellbeing can translate into meaningful enhancements in performance over time. This supports the argument that investing in employee wellbeing is a viable strategy for maintaining organisational effectiveness. The analysis found no significant relationship between job satisfaction and job performance, as evidenced by a near-zero β coefficient, low t-value, and non-significant p-value. Therefore, the related hypothesis was rejected. This finding calls into question the often assumed direct link between satisfaction and performance, implying that while employees may be satisfied with their jobs, this contentment does not always lead to improved performance. As a result, organisations aiming to improve productivity should focus more directly on improving wellbeing </w:t>
      </w:r>
      <w:r w:rsidRPr="00227727">
        <w:rPr>
          <w:rFonts w:ascii="Arial" w:eastAsia="Times New Roman" w:hAnsi="Arial" w:cs="Arial"/>
          <w:color w:val="0E101A"/>
          <w:sz w:val="24"/>
          <w:szCs w:val="24"/>
        </w:rPr>
        <w:lastRenderedPageBreak/>
        <w:t>rather than solely on job satisfaction, recognising that satisfaction alone is insufficient to produce tangible performance gains.</w:t>
      </w:r>
    </w:p>
    <w:p w14:paraId="4E87F1F3" w14:textId="77777777" w:rsidR="00227727" w:rsidRPr="00227727" w:rsidRDefault="00227727" w:rsidP="00227727">
      <w:pPr>
        <w:spacing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Job Stress has no significant impact on job performance (β = 0.141, SD = 0.074, t-value = 1.919, p = 0.055, f² = 0.010), leading to the rejection of H3b. The small effect size indicates that job stress does not significantly affect job performance, though it contributes to burnout and long-term disengagement. HRM practices significantly improve employee well-being (β = 0.364, SD = 0.052, t-value = 7.028, p &lt; 0.000,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0.170), supporting the acceptance of H4. This emphasises the significance of effective HRM strategies in creating a supportive work environment, supporting previous research that has highlighted the role of HRM in promoting employee wellbeing and reducing workplace stress.</w:t>
      </w:r>
    </w:p>
    <w:p w14:paraId="5059C4FA" w14:textId="77777777" w:rsidR="00227727" w:rsidRPr="00227727" w:rsidRDefault="00227727" w:rsidP="00227727">
      <w:pPr>
        <w:spacing w:line="360" w:lineRule="auto"/>
        <w:ind w:firstLine="720"/>
        <w:jc w:val="both"/>
        <w:rPr>
          <w:rFonts w:ascii="Arial" w:eastAsia="Times New Roman" w:hAnsi="Arial" w:cs="Arial"/>
          <w:color w:val="0E101A"/>
          <w:sz w:val="24"/>
          <w:szCs w:val="24"/>
        </w:rPr>
      </w:pPr>
      <w:r w:rsidRPr="00227727">
        <w:rPr>
          <w:rFonts w:ascii="Arial" w:hAnsi="Arial" w:cs="Arial"/>
          <w:sz w:val="24"/>
          <w:szCs w:val="24"/>
        </w:rPr>
        <w:t xml:space="preserve">The findings draw significant conclusions about the impact of job stress and HRM practices on employee outcomes, providing practical justifications for organisational strategies. The analysis found that job stress does not significantly impact job performance, as indicated by a small β coefficient, a t-value marginally below the conventional threshold for significance, and a minimal </w:t>
      </w:r>
      <w:r w:rsidRPr="00227727">
        <w:rPr>
          <w:rStyle w:val="Emphasis"/>
          <w:rFonts w:ascii="Arial" w:hAnsi="Arial" w:cs="Arial"/>
          <w:color w:val="0E101A"/>
          <w:sz w:val="24"/>
          <w:szCs w:val="24"/>
        </w:rPr>
        <w:t>f²</w:t>
      </w:r>
      <w:r w:rsidRPr="00227727">
        <w:rPr>
          <w:rFonts w:ascii="Arial" w:hAnsi="Arial" w:cs="Arial"/>
          <w:sz w:val="24"/>
          <w:szCs w:val="24"/>
        </w:rPr>
        <w:t xml:space="preserve"> value. Therefore, the related hypothesis is rejected. This suggests that while stress may not have an immediate or direct impact on performance levels, it remains a critical concern due to well-established links to burnout, long-term disengagement, and eventual productivity loss if not managed. The study found a significant β coefficient, a high t-value, and a moderate </w:t>
      </w:r>
      <w:r w:rsidRPr="00227727">
        <w:rPr>
          <w:rStyle w:val="Emphasis"/>
          <w:rFonts w:ascii="Arial" w:hAnsi="Arial" w:cs="Arial"/>
          <w:color w:val="0E101A"/>
          <w:sz w:val="24"/>
          <w:szCs w:val="24"/>
        </w:rPr>
        <w:t>f²</w:t>
      </w:r>
      <w:r w:rsidRPr="00227727">
        <w:rPr>
          <w:rFonts w:ascii="Arial" w:hAnsi="Arial" w:cs="Arial"/>
          <w:sz w:val="24"/>
          <w:szCs w:val="24"/>
        </w:rPr>
        <w:t xml:space="preserve"> effect size, indicating that HRM practices positively impact employee well-being. This demonstrates that effective human resource management strategies, such as employee support programs, training initiatives, and fair performance management systems, significantly contribute to creating a healthier, more resilient workforce. The findings are consistent with previous research and support the argument that proactive HRM interventions are critical for reducing workplace stress and creating a positive work environment in which employees feel valued, supported, and motivated, ultimately benefiting both individual and organisational performance.</w:t>
      </w:r>
    </w:p>
    <w:p w14:paraId="1EE69286"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4.11.</w:t>
      </w:r>
      <w:r w:rsidRPr="00227727">
        <w:rPr>
          <w:rFonts w:ascii="Arial" w:hAnsi="Arial" w:cs="Arial"/>
          <w:sz w:val="24"/>
          <w:szCs w:val="24"/>
          <w:lang w:bidi="ta-IN"/>
        </w:rPr>
        <w:t xml:space="preserve"> Direct Effects</w:t>
      </w:r>
    </w:p>
    <w:tbl>
      <w:tblPr>
        <w:tblStyle w:val="ListTable6Colourful"/>
        <w:tblW w:w="0" w:type="auto"/>
        <w:tblLook w:val="0620" w:firstRow="1" w:lastRow="0" w:firstColumn="0" w:lastColumn="0" w:noHBand="1" w:noVBand="1"/>
      </w:tblPr>
      <w:tblGrid>
        <w:gridCol w:w="620"/>
        <w:gridCol w:w="3943"/>
        <w:gridCol w:w="767"/>
        <w:gridCol w:w="767"/>
        <w:gridCol w:w="921"/>
        <w:gridCol w:w="1081"/>
        <w:gridCol w:w="767"/>
        <w:gridCol w:w="767"/>
        <w:gridCol w:w="1133"/>
      </w:tblGrid>
      <w:tr w:rsidR="00227727" w:rsidRPr="00227727" w14:paraId="408F714A" w14:textId="77777777" w:rsidTr="00E772F3">
        <w:trPr>
          <w:cnfStyle w:val="100000000000" w:firstRow="1" w:lastRow="0" w:firstColumn="0" w:lastColumn="0" w:oddVBand="0" w:evenVBand="0" w:oddHBand="0" w:evenHBand="0" w:firstRowFirstColumn="0" w:firstRowLastColumn="0" w:lastRowFirstColumn="0" w:lastRowLastColumn="0"/>
        </w:trPr>
        <w:tc>
          <w:tcPr>
            <w:tcW w:w="0" w:type="auto"/>
            <w:hideMark/>
          </w:tcPr>
          <w:p w14:paraId="0E8FE12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No.</w:t>
            </w:r>
          </w:p>
        </w:tc>
        <w:tc>
          <w:tcPr>
            <w:tcW w:w="0" w:type="auto"/>
            <w:hideMark/>
          </w:tcPr>
          <w:p w14:paraId="40BD005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Hypotheses Testing</w:t>
            </w:r>
          </w:p>
        </w:tc>
        <w:tc>
          <w:tcPr>
            <w:tcW w:w="0" w:type="auto"/>
            <w:hideMark/>
          </w:tcPr>
          <w:p w14:paraId="2DC2D06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Β</w:t>
            </w:r>
          </w:p>
        </w:tc>
        <w:tc>
          <w:tcPr>
            <w:tcW w:w="0" w:type="auto"/>
            <w:hideMark/>
          </w:tcPr>
          <w:p w14:paraId="25C23EF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SD</w:t>
            </w:r>
          </w:p>
        </w:tc>
        <w:tc>
          <w:tcPr>
            <w:tcW w:w="0" w:type="auto"/>
            <w:hideMark/>
          </w:tcPr>
          <w:p w14:paraId="27F53B2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t-value</w:t>
            </w:r>
          </w:p>
        </w:tc>
        <w:tc>
          <w:tcPr>
            <w:tcW w:w="0" w:type="auto"/>
            <w:hideMark/>
          </w:tcPr>
          <w:p w14:paraId="05EB295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p-values</w:t>
            </w:r>
          </w:p>
        </w:tc>
        <w:tc>
          <w:tcPr>
            <w:tcW w:w="0" w:type="auto"/>
            <w:hideMark/>
          </w:tcPr>
          <w:p w14:paraId="299D2D0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R²</w:t>
            </w:r>
          </w:p>
        </w:tc>
        <w:tc>
          <w:tcPr>
            <w:tcW w:w="0" w:type="auto"/>
            <w:hideMark/>
          </w:tcPr>
          <w:p w14:paraId="0DD5DB5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f²</w:t>
            </w:r>
          </w:p>
        </w:tc>
        <w:tc>
          <w:tcPr>
            <w:tcW w:w="0" w:type="auto"/>
            <w:hideMark/>
          </w:tcPr>
          <w:p w14:paraId="604B372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Decision</w:t>
            </w:r>
          </w:p>
        </w:tc>
      </w:tr>
      <w:tr w:rsidR="00227727" w:rsidRPr="00227727" w14:paraId="56D748F2" w14:textId="77777777" w:rsidTr="00E772F3">
        <w:tc>
          <w:tcPr>
            <w:tcW w:w="0" w:type="auto"/>
            <w:hideMark/>
          </w:tcPr>
          <w:p w14:paraId="59F9FE7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H1</w:t>
            </w:r>
          </w:p>
        </w:tc>
        <w:tc>
          <w:tcPr>
            <w:tcW w:w="0" w:type="auto"/>
            <w:hideMark/>
          </w:tcPr>
          <w:p w14:paraId="66A4329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-&gt; Job Performance</w:t>
            </w:r>
          </w:p>
        </w:tc>
        <w:tc>
          <w:tcPr>
            <w:tcW w:w="0" w:type="auto"/>
            <w:hideMark/>
          </w:tcPr>
          <w:p w14:paraId="44357B0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0.321</w:t>
            </w:r>
          </w:p>
        </w:tc>
        <w:tc>
          <w:tcPr>
            <w:tcW w:w="0" w:type="auto"/>
            <w:hideMark/>
          </w:tcPr>
          <w:p w14:paraId="52BDDA3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0.080</w:t>
            </w:r>
          </w:p>
        </w:tc>
        <w:tc>
          <w:tcPr>
            <w:tcW w:w="0" w:type="auto"/>
            <w:hideMark/>
          </w:tcPr>
          <w:p w14:paraId="586A4B6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4.016</w:t>
            </w:r>
          </w:p>
        </w:tc>
        <w:tc>
          <w:tcPr>
            <w:tcW w:w="0" w:type="auto"/>
            <w:hideMark/>
          </w:tcPr>
          <w:p w14:paraId="00DC525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0.000</w:t>
            </w:r>
          </w:p>
        </w:tc>
        <w:tc>
          <w:tcPr>
            <w:tcW w:w="0" w:type="auto"/>
            <w:hideMark/>
          </w:tcPr>
          <w:p w14:paraId="1F4FA0D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0.678</w:t>
            </w:r>
          </w:p>
        </w:tc>
        <w:tc>
          <w:tcPr>
            <w:tcW w:w="0" w:type="auto"/>
            <w:hideMark/>
          </w:tcPr>
          <w:p w14:paraId="4CDAD5D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0.088</w:t>
            </w:r>
          </w:p>
        </w:tc>
        <w:tc>
          <w:tcPr>
            <w:tcW w:w="0" w:type="auto"/>
            <w:hideMark/>
          </w:tcPr>
          <w:p w14:paraId="0249734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Accept</w:t>
            </w:r>
          </w:p>
        </w:tc>
      </w:tr>
      <w:tr w:rsidR="00227727" w:rsidRPr="00227727" w14:paraId="2F57EF96" w14:textId="77777777" w:rsidTr="00E772F3">
        <w:tc>
          <w:tcPr>
            <w:tcW w:w="0" w:type="auto"/>
            <w:hideMark/>
          </w:tcPr>
          <w:p w14:paraId="1C165EE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H2</w:t>
            </w:r>
          </w:p>
        </w:tc>
        <w:tc>
          <w:tcPr>
            <w:tcW w:w="0" w:type="auto"/>
            <w:hideMark/>
          </w:tcPr>
          <w:p w14:paraId="2144BA5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-&gt; Employees Wellbeing</w:t>
            </w:r>
          </w:p>
        </w:tc>
        <w:tc>
          <w:tcPr>
            <w:tcW w:w="0" w:type="auto"/>
            <w:hideMark/>
          </w:tcPr>
          <w:p w14:paraId="64AD41F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0.598</w:t>
            </w:r>
          </w:p>
        </w:tc>
        <w:tc>
          <w:tcPr>
            <w:tcW w:w="0" w:type="auto"/>
            <w:hideMark/>
          </w:tcPr>
          <w:p w14:paraId="65C8A0E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0.051</w:t>
            </w:r>
          </w:p>
        </w:tc>
        <w:tc>
          <w:tcPr>
            <w:tcW w:w="0" w:type="auto"/>
            <w:hideMark/>
          </w:tcPr>
          <w:p w14:paraId="5CD2C27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11.745</w:t>
            </w:r>
          </w:p>
        </w:tc>
        <w:tc>
          <w:tcPr>
            <w:tcW w:w="0" w:type="auto"/>
            <w:hideMark/>
          </w:tcPr>
          <w:p w14:paraId="1C7C5B8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0.000</w:t>
            </w:r>
          </w:p>
        </w:tc>
        <w:tc>
          <w:tcPr>
            <w:tcW w:w="0" w:type="auto"/>
            <w:hideMark/>
          </w:tcPr>
          <w:p w14:paraId="69D0184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0.684</w:t>
            </w:r>
          </w:p>
        </w:tc>
        <w:tc>
          <w:tcPr>
            <w:tcW w:w="0" w:type="auto"/>
            <w:hideMark/>
          </w:tcPr>
          <w:p w14:paraId="6F3FDAD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2.168</w:t>
            </w:r>
          </w:p>
        </w:tc>
        <w:tc>
          <w:tcPr>
            <w:tcW w:w="0" w:type="auto"/>
            <w:hideMark/>
          </w:tcPr>
          <w:p w14:paraId="7FBA764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Accept</w:t>
            </w:r>
          </w:p>
        </w:tc>
      </w:tr>
      <w:tr w:rsidR="00227727" w:rsidRPr="00227727" w14:paraId="384FCF24" w14:textId="77777777" w:rsidTr="00E772F3">
        <w:tc>
          <w:tcPr>
            <w:tcW w:w="0" w:type="auto"/>
            <w:hideMark/>
          </w:tcPr>
          <w:p w14:paraId="5B8F221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H2a</w:t>
            </w:r>
          </w:p>
        </w:tc>
        <w:tc>
          <w:tcPr>
            <w:tcW w:w="0" w:type="auto"/>
            <w:hideMark/>
          </w:tcPr>
          <w:p w14:paraId="1D1B829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-&gt; Job Satisfaction</w:t>
            </w:r>
          </w:p>
        </w:tc>
        <w:tc>
          <w:tcPr>
            <w:tcW w:w="0" w:type="auto"/>
            <w:hideMark/>
          </w:tcPr>
          <w:p w14:paraId="436E3B4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0.821</w:t>
            </w:r>
          </w:p>
        </w:tc>
        <w:tc>
          <w:tcPr>
            <w:tcW w:w="0" w:type="auto"/>
            <w:hideMark/>
          </w:tcPr>
          <w:p w14:paraId="76E47A1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0.022</w:t>
            </w:r>
          </w:p>
        </w:tc>
        <w:tc>
          <w:tcPr>
            <w:tcW w:w="0" w:type="auto"/>
            <w:hideMark/>
          </w:tcPr>
          <w:p w14:paraId="362BBA4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37.904</w:t>
            </w:r>
          </w:p>
        </w:tc>
        <w:tc>
          <w:tcPr>
            <w:tcW w:w="0" w:type="auto"/>
            <w:hideMark/>
          </w:tcPr>
          <w:p w14:paraId="46957F5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0.000</w:t>
            </w:r>
          </w:p>
        </w:tc>
        <w:tc>
          <w:tcPr>
            <w:tcW w:w="0" w:type="auto"/>
            <w:hideMark/>
          </w:tcPr>
          <w:p w14:paraId="7042449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0.674</w:t>
            </w:r>
          </w:p>
        </w:tc>
        <w:tc>
          <w:tcPr>
            <w:tcW w:w="0" w:type="auto"/>
            <w:hideMark/>
          </w:tcPr>
          <w:p w14:paraId="394EC3A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2.068</w:t>
            </w:r>
          </w:p>
        </w:tc>
        <w:tc>
          <w:tcPr>
            <w:tcW w:w="0" w:type="auto"/>
            <w:hideMark/>
          </w:tcPr>
          <w:p w14:paraId="1DB4B35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Accept</w:t>
            </w:r>
          </w:p>
        </w:tc>
      </w:tr>
      <w:tr w:rsidR="00227727" w:rsidRPr="00227727" w14:paraId="034CECBF" w14:textId="77777777" w:rsidTr="00E772F3">
        <w:tc>
          <w:tcPr>
            <w:tcW w:w="0" w:type="auto"/>
            <w:hideMark/>
          </w:tcPr>
          <w:p w14:paraId="68CA721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H2b</w:t>
            </w:r>
          </w:p>
        </w:tc>
        <w:tc>
          <w:tcPr>
            <w:tcW w:w="0" w:type="auto"/>
            <w:hideMark/>
          </w:tcPr>
          <w:p w14:paraId="3986D5C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-&gt; Job Stress</w:t>
            </w:r>
          </w:p>
        </w:tc>
        <w:tc>
          <w:tcPr>
            <w:tcW w:w="0" w:type="auto"/>
            <w:hideMark/>
          </w:tcPr>
          <w:p w14:paraId="04C4512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0.811</w:t>
            </w:r>
          </w:p>
        </w:tc>
        <w:tc>
          <w:tcPr>
            <w:tcW w:w="0" w:type="auto"/>
            <w:hideMark/>
          </w:tcPr>
          <w:p w14:paraId="7A6AAD9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0.020</w:t>
            </w:r>
          </w:p>
        </w:tc>
        <w:tc>
          <w:tcPr>
            <w:tcW w:w="0" w:type="auto"/>
            <w:hideMark/>
          </w:tcPr>
          <w:p w14:paraId="69928B4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39.728</w:t>
            </w:r>
          </w:p>
        </w:tc>
        <w:tc>
          <w:tcPr>
            <w:tcW w:w="0" w:type="auto"/>
            <w:hideMark/>
          </w:tcPr>
          <w:p w14:paraId="35F6857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0.000</w:t>
            </w:r>
          </w:p>
        </w:tc>
        <w:tc>
          <w:tcPr>
            <w:tcW w:w="0" w:type="auto"/>
            <w:hideMark/>
          </w:tcPr>
          <w:p w14:paraId="4D6A786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0.709</w:t>
            </w:r>
          </w:p>
        </w:tc>
        <w:tc>
          <w:tcPr>
            <w:tcW w:w="0" w:type="auto"/>
            <w:hideMark/>
          </w:tcPr>
          <w:p w14:paraId="0898CE6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0.492</w:t>
            </w:r>
          </w:p>
        </w:tc>
        <w:tc>
          <w:tcPr>
            <w:tcW w:w="0" w:type="auto"/>
            <w:hideMark/>
          </w:tcPr>
          <w:p w14:paraId="6933CD0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Reject</w:t>
            </w:r>
          </w:p>
        </w:tc>
      </w:tr>
      <w:tr w:rsidR="00227727" w:rsidRPr="00227727" w14:paraId="1403DC08" w14:textId="77777777" w:rsidTr="00E772F3">
        <w:tc>
          <w:tcPr>
            <w:tcW w:w="0" w:type="auto"/>
            <w:hideMark/>
          </w:tcPr>
          <w:p w14:paraId="39230A2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H3</w:t>
            </w:r>
          </w:p>
        </w:tc>
        <w:tc>
          <w:tcPr>
            <w:tcW w:w="0" w:type="auto"/>
            <w:hideMark/>
          </w:tcPr>
          <w:p w14:paraId="1048EE1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Employees Wellbeing -&gt; Job Performance</w:t>
            </w:r>
          </w:p>
        </w:tc>
        <w:tc>
          <w:tcPr>
            <w:tcW w:w="0" w:type="auto"/>
            <w:hideMark/>
          </w:tcPr>
          <w:p w14:paraId="58E3694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0.395</w:t>
            </w:r>
          </w:p>
        </w:tc>
        <w:tc>
          <w:tcPr>
            <w:tcW w:w="0" w:type="auto"/>
            <w:hideMark/>
          </w:tcPr>
          <w:p w14:paraId="274AE97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0.085</w:t>
            </w:r>
          </w:p>
        </w:tc>
        <w:tc>
          <w:tcPr>
            <w:tcW w:w="0" w:type="auto"/>
            <w:hideMark/>
          </w:tcPr>
          <w:p w14:paraId="7FEA584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4.628</w:t>
            </w:r>
          </w:p>
        </w:tc>
        <w:tc>
          <w:tcPr>
            <w:tcW w:w="0" w:type="auto"/>
            <w:hideMark/>
          </w:tcPr>
          <w:p w14:paraId="5C4ABAB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0.000</w:t>
            </w:r>
          </w:p>
        </w:tc>
        <w:tc>
          <w:tcPr>
            <w:tcW w:w="0" w:type="auto"/>
            <w:hideMark/>
          </w:tcPr>
          <w:p w14:paraId="39EB086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w:t>
            </w:r>
          </w:p>
        </w:tc>
        <w:tc>
          <w:tcPr>
            <w:tcW w:w="0" w:type="auto"/>
            <w:hideMark/>
          </w:tcPr>
          <w:p w14:paraId="08AD46A9"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0.061</w:t>
            </w:r>
          </w:p>
        </w:tc>
        <w:tc>
          <w:tcPr>
            <w:tcW w:w="0" w:type="auto"/>
            <w:hideMark/>
          </w:tcPr>
          <w:p w14:paraId="7A7C7790"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Accept</w:t>
            </w:r>
          </w:p>
        </w:tc>
      </w:tr>
      <w:tr w:rsidR="00227727" w:rsidRPr="00227727" w14:paraId="587EE049" w14:textId="77777777" w:rsidTr="00E772F3">
        <w:tc>
          <w:tcPr>
            <w:tcW w:w="0" w:type="auto"/>
            <w:hideMark/>
          </w:tcPr>
          <w:p w14:paraId="731CD70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H3a</w:t>
            </w:r>
          </w:p>
        </w:tc>
        <w:tc>
          <w:tcPr>
            <w:tcW w:w="0" w:type="auto"/>
            <w:hideMark/>
          </w:tcPr>
          <w:p w14:paraId="3472034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Satisfaction -&gt; Job Performance</w:t>
            </w:r>
          </w:p>
        </w:tc>
        <w:tc>
          <w:tcPr>
            <w:tcW w:w="0" w:type="auto"/>
            <w:hideMark/>
          </w:tcPr>
          <w:p w14:paraId="14F3BB0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0.011</w:t>
            </w:r>
          </w:p>
        </w:tc>
        <w:tc>
          <w:tcPr>
            <w:tcW w:w="0" w:type="auto"/>
            <w:hideMark/>
          </w:tcPr>
          <w:p w14:paraId="655B541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0.096</w:t>
            </w:r>
          </w:p>
        </w:tc>
        <w:tc>
          <w:tcPr>
            <w:tcW w:w="0" w:type="auto"/>
            <w:hideMark/>
          </w:tcPr>
          <w:p w14:paraId="7BB5A79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0.116</w:t>
            </w:r>
          </w:p>
        </w:tc>
        <w:tc>
          <w:tcPr>
            <w:tcW w:w="0" w:type="auto"/>
            <w:hideMark/>
          </w:tcPr>
          <w:p w14:paraId="02EAE5E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0.908</w:t>
            </w:r>
          </w:p>
        </w:tc>
        <w:tc>
          <w:tcPr>
            <w:tcW w:w="0" w:type="auto"/>
            <w:hideMark/>
          </w:tcPr>
          <w:p w14:paraId="0883BD6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w:t>
            </w:r>
          </w:p>
        </w:tc>
        <w:tc>
          <w:tcPr>
            <w:tcW w:w="0" w:type="auto"/>
            <w:hideMark/>
          </w:tcPr>
          <w:p w14:paraId="41058EA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0.000</w:t>
            </w:r>
          </w:p>
        </w:tc>
        <w:tc>
          <w:tcPr>
            <w:tcW w:w="0" w:type="auto"/>
            <w:hideMark/>
          </w:tcPr>
          <w:p w14:paraId="0D3F8285"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Reject</w:t>
            </w:r>
          </w:p>
        </w:tc>
      </w:tr>
      <w:tr w:rsidR="00227727" w:rsidRPr="00227727" w14:paraId="60DDFE77" w14:textId="77777777" w:rsidTr="00E772F3">
        <w:tc>
          <w:tcPr>
            <w:tcW w:w="0" w:type="auto"/>
            <w:hideMark/>
          </w:tcPr>
          <w:p w14:paraId="166F44A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H3b</w:t>
            </w:r>
          </w:p>
        </w:tc>
        <w:tc>
          <w:tcPr>
            <w:tcW w:w="0" w:type="auto"/>
            <w:hideMark/>
          </w:tcPr>
          <w:p w14:paraId="45A9CFB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Stress -&gt; Job Performance</w:t>
            </w:r>
          </w:p>
        </w:tc>
        <w:tc>
          <w:tcPr>
            <w:tcW w:w="0" w:type="auto"/>
            <w:hideMark/>
          </w:tcPr>
          <w:p w14:paraId="1E91EABC"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0.141</w:t>
            </w:r>
          </w:p>
        </w:tc>
        <w:tc>
          <w:tcPr>
            <w:tcW w:w="0" w:type="auto"/>
            <w:hideMark/>
          </w:tcPr>
          <w:p w14:paraId="5EE6E69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0.074</w:t>
            </w:r>
          </w:p>
        </w:tc>
        <w:tc>
          <w:tcPr>
            <w:tcW w:w="0" w:type="auto"/>
            <w:hideMark/>
          </w:tcPr>
          <w:p w14:paraId="5B28325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1.919</w:t>
            </w:r>
          </w:p>
        </w:tc>
        <w:tc>
          <w:tcPr>
            <w:tcW w:w="0" w:type="auto"/>
            <w:hideMark/>
          </w:tcPr>
          <w:p w14:paraId="301F785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0.055</w:t>
            </w:r>
          </w:p>
        </w:tc>
        <w:tc>
          <w:tcPr>
            <w:tcW w:w="0" w:type="auto"/>
            <w:hideMark/>
          </w:tcPr>
          <w:p w14:paraId="4258617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w:t>
            </w:r>
          </w:p>
        </w:tc>
        <w:tc>
          <w:tcPr>
            <w:tcW w:w="0" w:type="auto"/>
            <w:hideMark/>
          </w:tcPr>
          <w:p w14:paraId="539F22F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0.010</w:t>
            </w:r>
          </w:p>
        </w:tc>
        <w:tc>
          <w:tcPr>
            <w:tcW w:w="0" w:type="auto"/>
            <w:hideMark/>
          </w:tcPr>
          <w:p w14:paraId="1B0D1B5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Reject</w:t>
            </w:r>
          </w:p>
        </w:tc>
      </w:tr>
      <w:tr w:rsidR="00227727" w:rsidRPr="00227727" w14:paraId="5BB48D47" w14:textId="77777777" w:rsidTr="00E772F3">
        <w:tc>
          <w:tcPr>
            <w:tcW w:w="0" w:type="auto"/>
            <w:hideMark/>
          </w:tcPr>
          <w:p w14:paraId="3F7807BA"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7ACD450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 Practices -&gt; Employees Wellbeing</w:t>
            </w:r>
          </w:p>
        </w:tc>
        <w:tc>
          <w:tcPr>
            <w:tcW w:w="0" w:type="auto"/>
            <w:hideMark/>
          </w:tcPr>
          <w:p w14:paraId="2FDD40C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0.364</w:t>
            </w:r>
          </w:p>
        </w:tc>
        <w:tc>
          <w:tcPr>
            <w:tcW w:w="0" w:type="auto"/>
            <w:hideMark/>
          </w:tcPr>
          <w:p w14:paraId="560B177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0.052</w:t>
            </w:r>
          </w:p>
        </w:tc>
        <w:tc>
          <w:tcPr>
            <w:tcW w:w="0" w:type="auto"/>
            <w:hideMark/>
          </w:tcPr>
          <w:p w14:paraId="028F1B4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7.028</w:t>
            </w:r>
          </w:p>
        </w:tc>
        <w:tc>
          <w:tcPr>
            <w:tcW w:w="0" w:type="auto"/>
            <w:hideMark/>
          </w:tcPr>
          <w:p w14:paraId="4716225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0.000</w:t>
            </w:r>
          </w:p>
        </w:tc>
        <w:tc>
          <w:tcPr>
            <w:tcW w:w="0" w:type="auto"/>
            <w:hideMark/>
          </w:tcPr>
          <w:p w14:paraId="37317D7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w:t>
            </w:r>
          </w:p>
        </w:tc>
        <w:tc>
          <w:tcPr>
            <w:tcW w:w="0" w:type="auto"/>
            <w:hideMark/>
          </w:tcPr>
          <w:p w14:paraId="00A71EB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0.170</w:t>
            </w:r>
          </w:p>
        </w:tc>
        <w:tc>
          <w:tcPr>
            <w:tcW w:w="0" w:type="auto"/>
            <w:hideMark/>
          </w:tcPr>
          <w:p w14:paraId="265310B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Accept</w:t>
            </w:r>
          </w:p>
        </w:tc>
      </w:tr>
    </w:tbl>
    <w:p w14:paraId="389CB180" w14:textId="77777777" w:rsidR="00227727" w:rsidRPr="00227727" w:rsidRDefault="00227727" w:rsidP="00227727">
      <w:pPr>
        <w:spacing w:line="360" w:lineRule="auto"/>
        <w:rPr>
          <w:rFonts w:ascii="Arial" w:hAnsi="Arial" w:cs="Arial"/>
          <w:sz w:val="24"/>
          <w:szCs w:val="24"/>
          <w:lang w:bidi="ta-IN"/>
        </w:rPr>
      </w:pPr>
    </w:p>
    <w:p w14:paraId="6E524F6B"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The path analysis confirms that Smarter Working improves job performance, employee well-being, and job satisfaction while unexpectedly increasing job stress. Employee well-being significantly improves job performance, whereas job satisfaction and stress do not directly impact performance. Furthermore, HRM Practices improve Employee wellbeing, highlighting the importance of organisational policies in shaping employee experiences. These findings suggest that, while Smarter Working has numerous advantages, organisations must take precautions to manage its potential negative effects, such as stress and workload intensity.</w:t>
      </w:r>
    </w:p>
    <w:p w14:paraId="66BDA67E" w14:textId="77777777" w:rsidR="00227727" w:rsidRPr="00227727" w:rsidRDefault="00227727" w:rsidP="00227727">
      <w:pPr>
        <w:pStyle w:val="Heading4"/>
        <w:spacing w:line="360" w:lineRule="auto"/>
        <w:rPr>
          <w:rFonts w:ascii="Arial" w:hAnsi="Arial" w:cs="Arial"/>
        </w:rPr>
      </w:pPr>
      <w:r w:rsidRPr="00227727">
        <w:rPr>
          <w:rFonts w:ascii="Arial" w:hAnsi="Arial" w:cs="Arial"/>
        </w:rPr>
        <w:t>Mediating Effect</w:t>
      </w:r>
    </w:p>
    <w:p w14:paraId="14A91BE6"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Mediation analysis determines whether there is an indirect relationship between two variables via a third variable (mediator). This study investigates employee wellbeing as a mediator between smarter working and job performance (H4). The results show that Employees' Wellbeing significantly mediates the relationship (β = 0.236, SD = 0.051, t-value = 4.617, p &lt; 0.000), supporting H4. Smarter working has a significant direct effect on job performance (β = 0.321, p &lt; 0.000) (Table 4.11), indicating partial mediation (Baron &amp; Kenny, 1986). While Smarter Working directly impacts Job Performance, some benefits are transmitted through employee wellbeing. This is consistent with previous research showing that employees who experience high levels of wellbeing due to flexible work arrangements are more engaged and productive.</w:t>
      </w:r>
    </w:p>
    <w:p w14:paraId="369FFE27"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The mediation analysis results provide clear evidence of the role of employee wellbeing as a significant pathway through which smarter working influences job performance, providing strong justification for integrated organisational strategies. The study found that employee wellbeing plays a significant role in mediating the relationship between smarter working and job performance, with a positive β coefficient, strong t-value, and statistically significant p-value, supporting the hypothesis. The direct impact of smarter working on job performance remains significant, indicating partial mediation according to the classical criteria established by Baron and Kenny. This means that while Smarter Working improves job performance directly, a significant portion of its positive effect is achieved indirectly by improving employee wellbeing. These findings are consistent with previous research, which has shown that flexible work practices promote greater autonomy and efficiency and create conditions that improve psychological health, resulting in higher engagement and productivity. As a result, the evidence suggests that organisations looking to improve performance outcomes should implement smarter working practices and actively nurture employee wellbeing, recognising it as a critical mechanism that amplifies the benefits of flexible and supportive work environments. Because the indirect effect is statistically significant while the direct effect remains meaningful, the mediation is considered partial, implying that smarter working, directly and indirectly, improves job performance by improving employee wellbeing. The findings support the notion that wellbeing plays a critical role in </w:t>
      </w:r>
      <w:r w:rsidRPr="00227727">
        <w:rPr>
          <w:rFonts w:ascii="Arial" w:hAnsi="Arial" w:cs="Arial"/>
          <w:sz w:val="24"/>
          <w:szCs w:val="24"/>
          <w:lang w:bidi="ta-IN"/>
        </w:rPr>
        <w:lastRenderedPageBreak/>
        <w:t>how employees adapt to new work structures, emphasising the importance of organisations focussing on workplace policies that promote employee wellbeing to maximise performance outcomes.</w:t>
      </w:r>
    </w:p>
    <w:p w14:paraId="32E5EF77"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4.12.</w:t>
      </w:r>
      <w:r w:rsidRPr="00227727">
        <w:rPr>
          <w:rFonts w:ascii="Arial" w:hAnsi="Arial" w:cs="Arial"/>
          <w:sz w:val="24"/>
          <w:szCs w:val="24"/>
          <w:lang w:bidi="ta-IN"/>
        </w:rPr>
        <w:t xml:space="preserve"> Mediating Effect</w:t>
      </w:r>
    </w:p>
    <w:tbl>
      <w:tblPr>
        <w:tblStyle w:val="ListTable6Colourful"/>
        <w:tblW w:w="4761" w:type="pct"/>
        <w:tblLook w:val="0620" w:firstRow="1" w:lastRow="0" w:firstColumn="0" w:lastColumn="0" w:noHBand="1" w:noVBand="1"/>
      </w:tblPr>
      <w:tblGrid>
        <w:gridCol w:w="539"/>
        <w:gridCol w:w="5010"/>
        <w:gridCol w:w="767"/>
        <w:gridCol w:w="767"/>
        <w:gridCol w:w="926"/>
        <w:gridCol w:w="1109"/>
        <w:gridCol w:w="1133"/>
      </w:tblGrid>
      <w:tr w:rsidR="00227727" w:rsidRPr="00227727" w14:paraId="174118BC"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263" w:type="pct"/>
            <w:noWrap/>
            <w:hideMark/>
          </w:tcPr>
          <w:p w14:paraId="3A208524" w14:textId="77777777" w:rsidR="00227727" w:rsidRPr="00227727" w:rsidRDefault="00227727" w:rsidP="00E772F3">
            <w:pPr>
              <w:spacing w:line="360" w:lineRule="auto"/>
              <w:rPr>
                <w:rFonts w:ascii="Arial" w:eastAsia="Times New Roman" w:hAnsi="Arial" w:cs="Arial"/>
                <w:sz w:val="20"/>
                <w:szCs w:val="20"/>
              </w:rPr>
            </w:pPr>
            <w:r w:rsidRPr="00227727">
              <w:rPr>
                <w:rFonts w:ascii="Arial" w:eastAsia="Times New Roman" w:hAnsi="Arial" w:cs="Arial"/>
                <w:sz w:val="20"/>
                <w:szCs w:val="20"/>
              </w:rPr>
              <w:t>No.</w:t>
            </w:r>
          </w:p>
        </w:tc>
        <w:tc>
          <w:tcPr>
            <w:tcW w:w="2444" w:type="pct"/>
          </w:tcPr>
          <w:p w14:paraId="0CA098E9" w14:textId="77777777" w:rsidR="00227727" w:rsidRPr="00227727" w:rsidRDefault="00227727" w:rsidP="00E772F3">
            <w:pPr>
              <w:spacing w:line="360" w:lineRule="auto"/>
              <w:rPr>
                <w:rFonts w:ascii="Arial" w:hAnsi="Arial" w:cs="Arial"/>
                <w:bCs w:val="0"/>
                <w:color w:val="1F1F1F"/>
                <w:sz w:val="22"/>
                <w:szCs w:val="21"/>
                <w:shd w:val="clear" w:color="auto" w:fill="FFFFFF"/>
              </w:rPr>
            </w:pPr>
            <w:r w:rsidRPr="00227727">
              <w:rPr>
                <w:rFonts w:ascii="Arial" w:eastAsia="Times New Roman" w:hAnsi="Arial" w:cs="Arial"/>
                <w:sz w:val="20"/>
                <w:szCs w:val="20"/>
              </w:rPr>
              <w:t>Hypothesis testing</w:t>
            </w:r>
          </w:p>
        </w:tc>
        <w:tc>
          <w:tcPr>
            <w:tcW w:w="374" w:type="pct"/>
            <w:noWrap/>
            <w:hideMark/>
          </w:tcPr>
          <w:p w14:paraId="0816EC87" w14:textId="77777777" w:rsidR="00227727" w:rsidRPr="00227727" w:rsidRDefault="00227727" w:rsidP="00E772F3">
            <w:pPr>
              <w:spacing w:line="360" w:lineRule="auto"/>
              <w:jc w:val="center"/>
              <w:rPr>
                <w:rFonts w:ascii="Arial" w:eastAsia="Times New Roman" w:hAnsi="Arial" w:cs="Arial"/>
                <w:sz w:val="22"/>
              </w:rPr>
            </w:pPr>
            <w:r w:rsidRPr="00227727">
              <w:rPr>
                <w:rFonts w:ascii="Arial" w:hAnsi="Arial" w:cs="Arial"/>
                <w:bCs w:val="0"/>
                <w:color w:val="1F1F1F"/>
                <w:sz w:val="22"/>
                <w:szCs w:val="21"/>
                <w:shd w:val="clear" w:color="auto" w:fill="FFFFFF"/>
              </w:rPr>
              <w:t>β</w:t>
            </w:r>
          </w:p>
        </w:tc>
        <w:tc>
          <w:tcPr>
            <w:tcW w:w="374" w:type="pct"/>
            <w:noWrap/>
            <w:hideMark/>
          </w:tcPr>
          <w:p w14:paraId="727CAE4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SD</w:t>
            </w:r>
          </w:p>
        </w:tc>
        <w:tc>
          <w:tcPr>
            <w:tcW w:w="452" w:type="pct"/>
            <w:noWrap/>
            <w:hideMark/>
          </w:tcPr>
          <w:p w14:paraId="34363B8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t-value</w:t>
            </w:r>
          </w:p>
        </w:tc>
        <w:tc>
          <w:tcPr>
            <w:tcW w:w="541" w:type="pct"/>
            <w:noWrap/>
            <w:hideMark/>
          </w:tcPr>
          <w:p w14:paraId="1F964ED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p-values</w:t>
            </w:r>
          </w:p>
        </w:tc>
        <w:tc>
          <w:tcPr>
            <w:tcW w:w="553" w:type="pct"/>
          </w:tcPr>
          <w:p w14:paraId="645B225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Decision</w:t>
            </w:r>
          </w:p>
        </w:tc>
      </w:tr>
      <w:tr w:rsidR="00227727" w:rsidRPr="00227727" w14:paraId="26091063" w14:textId="77777777" w:rsidTr="00E772F3">
        <w:trPr>
          <w:trHeight w:val="288"/>
        </w:trPr>
        <w:tc>
          <w:tcPr>
            <w:tcW w:w="263" w:type="pct"/>
            <w:noWrap/>
            <w:hideMark/>
          </w:tcPr>
          <w:p w14:paraId="375E8F7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H4</w:t>
            </w:r>
          </w:p>
        </w:tc>
        <w:tc>
          <w:tcPr>
            <w:tcW w:w="2444" w:type="pct"/>
          </w:tcPr>
          <w:p w14:paraId="41B246F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-&gt; Employees Wellbeing -&gt; Job Performance</w:t>
            </w:r>
          </w:p>
        </w:tc>
        <w:tc>
          <w:tcPr>
            <w:tcW w:w="374" w:type="pct"/>
            <w:noWrap/>
            <w:hideMark/>
          </w:tcPr>
          <w:p w14:paraId="6F58FB7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0.236</w:t>
            </w:r>
          </w:p>
        </w:tc>
        <w:tc>
          <w:tcPr>
            <w:tcW w:w="374" w:type="pct"/>
            <w:noWrap/>
            <w:hideMark/>
          </w:tcPr>
          <w:p w14:paraId="43B41BF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0.051</w:t>
            </w:r>
          </w:p>
        </w:tc>
        <w:tc>
          <w:tcPr>
            <w:tcW w:w="452" w:type="pct"/>
            <w:noWrap/>
            <w:hideMark/>
          </w:tcPr>
          <w:p w14:paraId="6FA17F7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4.617</w:t>
            </w:r>
          </w:p>
        </w:tc>
        <w:tc>
          <w:tcPr>
            <w:tcW w:w="541" w:type="pct"/>
            <w:noWrap/>
            <w:hideMark/>
          </w:tcPr>
          <w:p w14:paraId="21A3BC9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0.000</w:t>
            </w:r>
          </w:p>
        </w:tc>
        <w:tc>
          <w:tcPr>
            <w:tcW w:w="553" w:type="pct"/>
          </w:tcPr>
          <w:p w14:paraId="2185D35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Accept</w:t>
            </w:r>
          </w:p>
        </w:tc>
      </w:tr>
    </w:tbl>
    <w:p w14:paraId="44C67BC2" w14:textId="77777777" w:rsidR="00227727" w:rsidRPr="00227727" w:rsidRDefault="00227727" w:rsidP="00227727">
      <w:pPr>
        <w:spacing w:line="360" w:lineRule="auto"/>
        <w:rPr>
          <w:rFonts w:ascii="Arial" w:hAnsi="Arial" w:cs="Arial"/>
          <w:sz w:val="24"/>
          <w:szCs w:val="24"/>
          <w:lang w:bidi="ta-IN"/>
        </w:rPr>
      </w:pPr>
    </w:p>
    <w:p w14:paraId="0D869A7F" w14:textId="77777777" w:rsidR="00227727" w:rsidRPr="00227727" w:rsidRDefault="00227727" w:rsidP="00227727">
      <w:pPr>
        <w:spacing w:line="360" w:lineRule="auto"/>
        <w:rPr>
          <w:rFonts w:ascii="Arial" w:hAnsi="Arial" w:cs="Arial"/>
          <w:sz w:val="24"/>
          <w:szCs w:val="24"/>
          <w:lang w:bidi="ta-IN"/>
        </w:rPr>
      </w:pPr>
      <w:r w:rsidRPr="00227727">
        <w:rPr>
          <w:rFonts w:ascii="Arial" w:hAnsi="Arial" w:cs="Arial"/>
          <w:noProof/>
          <w:sz w:val="24"/>
          <w:szCs w:val="24"/>
        </w:rPr>
        <w:drawing>
          <wp:inline distT="0" distB="0" distL="0" distR="0" wp14:anchorId="20965EF1" wp14:editId="75002546">
            <wp:extent cx="6836410" cy="3041396"/>
            <wp:effectExtent l="0" t="0" r="2540" b="6985"/>
            <wp:docPr id="1" name="Picture 1" descr="D:\Outreach M Thesis Work\PLS Results\SEM with complete moderation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treach M Thesis Work\PLS Results\SEM with complete moderation mode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36410" cy="3041396"/>
                    </a:xfrm>
                    <a:prstGeom prst="rect">
                      <a:avLst/>
                    </a:prstGeom>
                    <a:noFill/>
                    <a:ln>
                      <a:noFill/>
                    </a:ln>
                  </pic:spPr>
                </pic:pic>
              </a:graphicData>
            </a:graphic>
          </wp:inline>
        </w:drawing>
      </w:r>
    </w:p>
    <w:p w14:paraId="7FE1A584" w14:textId="77777777" w:rsidR="00227727" w:rsidRPr="00227727" w:rsidRDefault="00227727" w:rsidP="00227727">
      <w:pPr>
        <w:spacing w:line="360" w:lineRule="auto"/>
        <w:jc w:val="center"/>
        <w:rPr>
          <w:rFonts w:ascii="Arial" w:hAnsi="Arial" w:cs="Arial"/>
          <w:sz w:val="24"/>
          <w:szCs w:val="24"/>
          <w:lang w:bidi="ta-IN"/>
        </w:rPr>
      </w:pPr>
      <w:r w:rsidRPr="00227727">
        <w:rPr>
          <w:rFonts w:ascii="Arial" w:hAnsi="Arial" w:cs="Arial"/>
          <w:b/>
          <w:sz w:val="24"/>
          <w:szCs w:val="24"/>
          <w:lang w:bidi="ta-IN"/>
        </w:rPr>
        <w:t>Figure 4.1.</w:t>
      </w:r>
      <w:r w:rsidRPr="00227727">
        <w:rPr>
          <w:rFonts w:ascii="Arial" w:hAnsi="Arial" w:cs="Arial"/>
          <w:sz w:val="24"/>
          <w:szCs w:val="24"/>
          <w:lang w:bidi="ta-IN"/>
        </w:rPr>
        <w:t xml:space="preserve"> Structural Equation Modelling (SEM)</w:t>
      </w:r>
    </w:p>
    <w:p w14:paraId="0E97BFAD" w14:textId="77777777" w:rsidR="00227727" w:rsidRPr="00227727" w:rsidRDefault="00227727" w:rsidP="00227727">
      <w:pPr>
        <w:pStyle w:val="Heading4"/>
        <w:spacing w:line="360" w:lineRule="auto"/>
        <w:rPr>
          <w:rFonts w:ascii="Arial" w:hAnsi="Arial" w:cs="Arial"/>
        </w:rPr>
      </w:pPr>
      <w:r w:rsidRPr="00227727">
        <w:rPr>
          <w:rFonts w:ascii="Arial" w:hAnsi="Arial" w:cs="Arial"/>
        </w:rPr>
        <w:t>Moderating Effect</w:t>
      </w:r>
    </w:p>
    <w:p w14:paraId="6EA119F3"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Moderation analysis investigates whether the strength or direction of a relationship between two variables changes with the presence of a third variable (moderator). HRM Practices were investigated as a moderator in the relationship between Smarter Working and Psychological Wellbeing (H5). The results show that the interaction term HRM Practices × Smarter Working has no significant effect on psychological wellbeing (β = 0.035, SD = 0.035, t-value = 1.001, p = 0.317). The hypothesis is rejected because the p-value is greater than 0.05, indicating that HRM practices have no significant moderating effect on the relationship between smarter working and psychological wellbeing.</w:t>
      </w:r>
    </w:p>
    <w:p w14:paraId="356D71C5"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The findings of the moderation analysis clearly show that HRM practices have no significant effect on the relationship between smarter working and psychological wellbeing, providing important insights into the scope of the impact of HRM in this context. The proposed hypothesis is rejected due to a non-significant interaction effect (low β coefficient, t-value below significance threshold, and p-value &gt; 0.05). This finding suggests that, while HRM practices are beneficial for directly supporting employee wellbeing, they do not enhance or diminish the positive impact that smarter working has on employees' psychological wellbeing. These findings show that the benefits of smarter working on wellbeing are relatively consistent and not heavily influenced by the presence or quality of HRM </w:t>
      </w:r>
      <w:r w:rsidRPr="00227727">
        <w:rPr>
          <w:rFonts w:ascii="Arial" w:hAnsi="Arial" w:cs="Arial"/>
          <w:sz w:val="24"/>
          <w:szCs w:val="24"/>
          <w:lang w:bidi="ta-IN"/>
        </w:rPr>
        <w:lastRenderedPageBreak/>
        <w:t>practices. As a result, organisations should recognise that, while effective HRM strategies are critical for overall workforce support, the success of Smarter Working in promoting psychological wellbeing primarily depends on how well flexible and digital work arrangements are designed and implemented rather than supplementary HRM enhancements. The findings suggest that while Smarter Working directly impacts psychological wellbeing, the presence of HRM Practices does not alter this effect. The strong HRM practices, such as well-structured policies, employee support programs, and workload management, can mitigate the negative effects of Smarter Working on psychological levels. This is that HRM policies are not sufficiently tailored to address the complexities of smarter working or that employees perceive psychological wellbeing as an unavoidable consequence of flexible work arrangements.</w:t>
      </w:r>
    </w:p>
    <w:p w14:paraId="42B25B06"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4.13.</w:t>
      </w:r>
      <w:r w:rsidRPr="00227727">
        <w:rPr>
          <w:rFonts w:ascii="Arial" w:hAnsi="Arial" w:cs="Arial"/>
          <w:sz w:val="24"/>
          <w:szCs w:val="24"/>
          <w:lang w:bidi="ta-IN"/>
        </w:rPr>
        <w:t xml:space="preserve"> Moderating effect</w:t>
      </w:r>
    </w:p>
    <w:tbl>
      <w:tblPr>
        <w:tblStyle w:val="ListTable6Colourful"/>
        <w:tblW w:w="4752" w:type="pct"/>
        <w:tblLayout w:type="fixed"/>
        <w:tblLook w:val="0620" w:firstRow="1" w:lastRow="0" w:firstColumn="0" w:lastColumn="0" w:noHBand="1" w:noVBand="1"/>
      </w:tblPr>
      <w:tblGrid>
        <w:gridCol w:w="630"/>
        <w:gridCol w:w="5896"/>
        <w:gridCol w:w="767"/>
        <w:gridCol w:w="905"/>
        <w:gridCol w:w="927"/>
        <w:gridCol w:w="1107"/>
      </w:tblGrid>
      <w:tr w:rsidR="00227727" w:rsidRPr="00227727" w14:paraId="37D273C7"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308" w:type="pct"/>
            <w:noWrap/>
            <w:hideMark/>
          </w:tcPr>
          <w:p w14:paraId="4F5AC17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No.</w:t>
            </w:r>
          </w:p>
        </w:tc>
        <w:tc>
          <w:tcPr>
            <w:tcW w:w="2881" w:type="pct"/>
          </w:tcPr>
          <w:p w14:paraId="67BC7BE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Hypotheses testing</w:t>
            </w:r>
          </w:p>
        </w:tc>
        <w:tc>
          <w:tcPr>
            <w:tcW w:w="375" w:type="pct"/>
            <w:noWrap/>
            <w:hideMark/>
          </w:tcPr>
          <w:p w14:paraId="44E9EA97" w14:textId="77777777" w:rsidR="00227727" w:rsidRPr="00227727" w:rsidRDefault="00227727" w:rsidP="00E772F3">
            <w:pPr>
              <w:spacing w:line="360" w:lineRule="auto"/>
              <w:jc w:val="center"/>
              <w:rPr>
                <w:rFonts w:ascii="Arial" w:eastAsia="Times New Roman" w:hAnsi="Arial" w:cs="Arial"/>
                <w:sz w:val="22"/>
              </w:rPr>
            </w:pPr>
            <w:r w:rsidRPr="00227727">
              <w:rPr>
                <w:rFonts w:ascii="Arial" w:hAnsi="Arial" w:cs="Arial"/>
                <w:bCs w:val="0"/>
                <w:color w:val="1F1F1F"/>
                <w:sz w:val="22"/>
                <w:szCs w:val="21"/>
                <w:shd w:val="clear" w:color="auto" w:fill="FFFFFF"/>
              </w:rPr>
              <w:t>β</w:t>
            </w:r>
          </w:p>
        </w:tc>
        <w:tc>
          <w:tcPr>
            <w:tcW w:w="442" w:type="pct"/>
            <w:noWrap/>
            <w:hideMark/>
          </w:tcPr>
          <w:p w14:paraId="5CD979F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SD</w:t>
            </w:r>
          </w:p>
        </w:tc>
        <w:tc>
          <w:tcPr>
            <w:tcW w:w="453" w:type="pct"/>
            <w:noWrap/>
            <w:hideMark/>
          </w:tcPr>
          <w:p w14:paraId="1E2A0EFE"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t-value</w:t>
            </w:r>
          </w:p>
        </w:tc>
        <w:tc>
          <w:tcPr>
            <w:tcW w:w="541" w:type="pct"/>
            <w:noWrap/>
            <w:hideMark/>
          </w:tcPr>
          <w:p w14:paraId="4E8DFA9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p-values</w:t>
            </w:r>
          </w:p>
        </w:tc>
      </w:tr>
      <w:tr w:rsidR="00227727" w:rsidRPr="00227727" w14:paraId="27ABE1A0" w14:textId="77777777" w:rsidTr="00E772F3">
        <w:trPr>
          <w:trHeight w:val="288"/>
        </w:trPr>
        <w:tc>
          <w:tcPr>
            <w:tcW w:w="308" w:type="pct"/>
            <w:noWrap/>
          </w:tcPr>
          <w:p w14:paraId="1FB070B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H5</w:t>
            </w:r>
          </w:p>
        </w:tc>
        <w:tc>
          <w:tcPr>
            <w:tcW w:w="2881" w:type="pct"/>
          </w:tcPr>
          <w:p w14:paraId="4EE1B52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 Practices x Smarter Working -&gt; Psychological Wellbeing</w:t>
            </w:r>
          </w:p>
        </w:tc>
        <w:tc>
          <w:tcPr>
            <w:tcW w:w="375" w:type="pct"/>
            <w:noWrap/>
            <w:hideMark/>
          </w:tcPr>
          <w:p w14:paraId="43EFD01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0.035</w:t>
            </w:r>
          </w:p>
        </w:tc>
        <w:tc>
          <w:tcPr>
            <w:tcW w:w="442" w:type="pct"/>
            <w:noWrap/>
            <w:hideMark/>
          </w:tcPr>
          <w:p w14:paraId="620E04C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0.035</w:t>
            </w:r>
          </w:p>
        </w:tc>
        <w:tc>
          <w:tcPr>
            <w:tcW w:w="453" w:type="pct"/>
            <w:noWrap/>
            <w:hideMark/>
          </w:tcPr>
          <w:p w14:paraId="4EDA0FA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1.001</w:t>
            </w:r>
          </w:p>
        </w:tc>
        <w:tc>
          <w:tcPr>
            <w:tcW w:w="541" w:type="pct"/>
            <w:noWrap/>
            <w:hideMark/>
          </w:tcPr>
          <w:p w14:paraId="1E97267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0.317</w:t>
            </w:r>
          </w:p>
        </w:tc>
      </w:tr>
    </w:tbl>
    <w:p w14:paraId="07FB7FA9" w14:textId="77777777" w:rsidR="00227727" w:rsidRPr="00227727" w:rsidRDefault="00227727" w:rsidP="00227727">
      <w:pPr>
        <w:spacing w:line="360" w:lineRule="auto"/>
        <w:rPr>
          <w:rFonts w:ascii="Arial" w:hAnsi="Arial" w:cs="Arial"/>
          <w:sz w:val="24"/>
          <w:szCs w:val="24"/>
          <w:lang w:bidi="ta-IN"/>
        </w:rPr>
      </w:pPr>
    </w:p>
    <w:p w14:paraId="565D2347" w14:textId="77777777" w:rsidR="00227727" w:rsidRPr="00227727" w:rsidRDefault="00227727" w:rsidP="00351EFC">
      <w:pPr>
        <w:pStyle w:val="Heading3"/>
        <w:rPr>
          <w:i/>
        </w:rPr>
      </w:pPr>
      <w:r w:rsidRPr="00227727">
        <w:t>Summary</w:t>
      </w:r>
    </w:p>
    <w:p w14:paraId="4E1F2D10"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The results chapter thoroughly analyses the findings, assessing direct, mediating, and moderating effects through structural equation modelling. The demographic analysis confirms that the sample is representative of employees at Network Rail and Transport for London, with a diverse range of job roles, experience levels, and education. The measurement model evaluation confirms convergent validity, discriminant validity, and reliability, with all constructs meeting the recommended thresholds. The results show that the measurement model is statistically sound, with strong factor loadings, sufficient variance explained, and high-reliability scores, implying construct validity. The model fit indices confirm that the structural model fits well, reinforcing the theoretical framework.</w:t>
      </w:r>
    </w:p>
    <w:p w14:paraId="1D10A996"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The hypotheses testing results show significant relationships between key variables. The findings confirm that Smarter Working improves job performance, employee wellbeing, and job satisfaction, supporting the hypotheses. However, contrary to expectations, Smarter Working increases Job Stress, prompting the rejection of the proposed negative hypothesis. Employee wellbeing is a significant predictor of job performance, whereas job satisfaction and stress have no direct impact on performance, leading to their rejection. Furthermore, HRM practices positively impact employees' wellbeing, emphasising the importance of workplace policies in shaping employee experiences. The mediation analysis confirms that Employees' Wellbeing partially mediates the relationship between Smarter Working and Job Performance, implying that Smarter Working benefits Job Performance directly and indirectly through improved wellbeing.</w:t>
      </w:r>
    </w:p>
    <w:p w14:paraId="2346B31D"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The moderation analysis reveals that HRM Practices do not significantly moderate the relationship between Smarter Working and Psychological Wellbeing, thus rejecting the hypothesis. </w:t>
      </w:r>
      <w:r w:rsidRPr="00227727">
        <w:rPr>
          <w:rFonts w:ascii="Arial" w:hAnsi="Arial" w:cs="Arial"/>
          <w:sz w:val="24"/>
          <w:szCs w:val="24"/>
          <w:lang w:bidi="ta-IN"/>
        </w:rPr>
        <w:lastRenderedPageBreak/>
        <w:t>This suggests that HRM practices alone do not increase the psychological wellbeing of the employees associated with Smarter Working. Overall, the findings confirm that Smarter Working substantially improves employee satisfaction, wellbeing, and performance, but organisations must be mindful of its potential to increase stress levels.</w:t>
      </w:r>
    </w:p>
    <w:p w14:paraId="6A522E48" w14:textId="77777777" w:rsidR="00227727" w:rsidRPr="00227727" w:rsidRDefault="00227727" w:rsidP="00227727">
      <w:pPr>
        <w:spacing w:line="360" w:lineRule="auto"/>
        <w:rPr>
          <w:rFonts w:ascii="Arial" w:hAnsi="Arial" w:cs="Arial"/>
          <w:sz w:val="24"/>
          <w:szCs w:val="24"/>
          <w:lang w:bidi="ta-IN"/>
        </w:rPr>
      </w:pPr>
    </w:p>
    <w:p w14:paraId="6DC67CAF" w14:textId="77777777" w:rsidR="00227727" w:rsidRPr="00227727" w:rsidRDefault="00227727" w:rsidP="00227727">
      <w:pPr>
        <w:spacing w:line="360" w:lineRule="auto"/>
        <w:rPr>
          <w:rFonts w:ascii="Arial" w:hAnsi="Arial" w:cs="Arial"/>
          <w:sz w:val="24"/>
          <w:szCs w:val="24"/>
          <w:lang w:bidi="ta-IN"/>
        </w:rPr>
      </w:pPr>
    </w:p>
    <w:p w14:paraId="638E7D58" w14:textId="77777777" w:rsidR="00351EFC" w:rsidRDefault="00351EFC">
      <w:pPr>
        <w:rPr>
          <w:rFonts w:ascii="Arial" w:eastAsiaTheme="majorEastAsia" w:hAnsi="Arial" w:cs="Arial"/>
          <w:color w:val="2F5496" w:themeColor="accent1" w:themeShade="BF"/>
          <w:kern w:val="2"/>
          <w:sz w:val="32"/>
          <w:szCs w:val="32"/>
          <w:lang w:bidi="ta-IN"/>
          <w14:ligatures w14:val="standardContextual"/>
        </w:rPr>
      </w:pPr>
      <w:r>
        <w:rPr>
          <w:rFonts w:ascii="Arial" w:hAnsi="Arial" w:cs="Arial"/>
        </w:rPr>
        <w:br w:type="page"/>
      </w:r>
    </w:p>
    <w:p w14:paraId="72AA416E" w14:textId="22850145" w:rsidR="00227727" w:rsidRPr="00227727" w:rsidRDefault="00227727" w:rsidP="00227727">
      <w:pPr>
        <w:pStyle w:val="Heading2"/>
        <w:spacing w:after="0" w:line="360" w:lineRule="auto"/>
        <w:rPr>
          <w:rFonts w:ascii="Arial" w:hAnsi="Arial" w:cs="Arial"/>
        </w:rPr>
      </w:pPr>
      <w:bookmarkStart w:id="14" w:name="_Toc197072221"/>
      <w:r w:rsidRPr="00227727">
        <w:rPr>
          <w:rFonts w:ascii="Arial" w:hAnsi="Arial" w:cs="Arial"/>
        </w:rPr>
        <w:lastRenderedPageBreak/>
        <w:t>DISCUSSION</w:t>
      </w:r>
      <w:bookmarkEnd w:id="14"/>
    </w:p>
    <w:p w14:paraId="089CFC8B"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This chapter discusses the key findings in light of existing literature, critically evaluating the direct, mediating, and moderating relationships discovered through structural equation modelling. The discussion focuses on how Smarter Working practices affect job performance, employee wellbeing, job satisfaction, and job stress, as well as whether HRM practices improve or modify these relationships. The study focuses on interpreting the strength and direction of these effects, comparing the findings to previous empirical findings and established theoretical frameworks such as Self-Determination Theory, the Job Demands-Resources model, and Self-Determination theory. The chapter examines expected and unexpected outcomes, providing detailed explanations and justifications based on current research and emphasising where the findings support or challenge existing knowledge.</w:t>
      </w:r>
    </w:p>
    <w:p w14:paraId="09912369"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This chapter also examines the mediating role of employee wellbeing in the relationship between Smarter Working and job performance and the moderating role of HRM practices in influencing psychological wellbeing. Where hypotheses were supported, the findings are integrated into a larger evidence base that advocates for flexible, wellbeing-oriented workplace strategies. Where hypotheses were rejected, alternative interpretations are proposed, backed up by critical findings from previous research that point to the limitations of satisfaction-based performance assumptions and the nuanced effects of stress and HRM interventions. Finally, the chapter discusses the theoretical, practical, and strategic implications, guiding organisations looking to optimise Smarter Working initiatives, HRM strategies, and employee wellbeing in the changing workplace.</w:t>
      </w:r>
    </w:p>
    <w:p w14:paraId="20082E7D" w14:textId="05D84089"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The study was conducted among employees from two major public transport organisations in the United Kingdom: Network Rail and Transport for London, with Transport for London having a slightly higher representation (55.1%) than Network Rail (44.9%). The sample was primarily composed of London residents (80.1%), with smaller groups from the South East, East of England, West Midlands, and East Midlands regions. Participants represented various functional areas, including IT, Sales and Marketing, Administration, Strategy and Change, and other operational and support roles, providing a view of various organisational functions. The nature of employment revealed that the majority (60.0%) were employees, followed by supervisors and senior managers, resulting in a balanced hierarchical view. The majority of employees (63.1%) reported hybrid working arrangements, indicating the ongoing shift towards flexible work models in the post-pandemic era, while fixed desk-based and front-line remote roles were also included. In terms of tenure, a significant proportion had worked for one to five years, capturing perspectives from the early to mid-career stages. The sample also included people of various ages, with the majority falling between the ages of 25 and 44, as well as people with high levels of education, particularly </w:t>
      </w:r>
      <w:r w:rsidR="00351EFC" w:rsidRPr="00227727">
        <w:rPr>
          <w:rFonts w:ascii="Arial" w:hAnsi="Arial" w:cs="Arial"/>
          <w:sz w:val="24"/>
          <w:szCs w:val="24"/>
          <w:lang w:bidi="ta-IN"/>
        </w:rPr>
        <w:t>bachelor’s and master’s</w:t>
      </w:r>
      <w:r w:rsidRPr="00227727">
        <w:rPr>
          <w:rFonts w:ascii="Arial" w:hAnsi="Arial" w:cs="Arial"/>
          <w:sz w:val="24"/>
          <w:szCs w:val="24"/>
          <w:lang w:bidi="ta-IN"/>
        </w:rPr>
        <w:t xml:space="preserve"> degrees. The study used a structured survey methodology with validated measurement instruments to collect information on Smarter Working practices, employee well-being, job satisfaction, job stress, and job performance. Structural Equation Modelling (SEM) was used to examine the hypothesised relationships, ensuring a thorough evaluation of measurement and structural models. The demographic breadth and methodological robustness </w:t>
      </w:r>
      <w:r w:rsidRPr="00227727">
        <w:rPr>
          <w:rFonts w:ascii="Arial" w:hAnsi="Arial" w:cs="Arial"/>
          <w:sz w:val="24"/>
          <w:szCs w:val="24"/>
          <w:lang w:bidi="ta-IN"/>
        </w:rPr>
        <w:lastRenderedPageBreak/>
        <w:t>provide a solid foundation for generalising the findings to large-scale, urban public sector organisations adjusting to modern, flexible working environments.</w:t>
      </w:r>
    </w:p>
    <w:p w14:paraId="74EC45DA" w14:textId="77777777" w:rsidR="00227727" w:rsidRPr="00227727" w:rsidRDefault="00227727" w:rsidP="00227727">
      <w:pPr>
        <w:pStyle w:val="Heading4"/>
        <w:spacing w:line="360" w:lineRule="auto"/>
        <w:rPr>
          <w:rFonts w:ascii="Arial" w:hAnsi="Arial" w:cs="Arial"/>
          <w:i w:val="0"/>
        </w:rPr>
      </w:pPr>
      <w:r w:rsidRPr="00227727">
        <w:rPr>
          <w:rFonts w:ascii="Arial" w:hAnsi="Arial" w:cs="Arial"/>
          <w:i w:val="0"/>
        </w:rPr>
        <w:t>Smarter Working and Job Performance</w:t>
      </w:r>
    </w:p>
    <w:p w14:paraId="2740B13C"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The findings generally align with a growing body of research highlighting the role of Smarter Working in improving job performance and employee wellbeing. Consistent with Angelici and Profeta (2020) and Ayling and McCartney (2020), the findings support that Smarter Working improves job performance by allowing for greater autonomy, flexibility, and efficient resource access. Studies by Davidescu et al. (2020) and Gastaldi et al. (2014) also found that flexible and digitally supported work models lead to better performance outcomes, supporting the conclusion that Smarter Working improves job performance. Previous research (Charalampous et al., 2019; Mostafa, 2021), which established that flexible work practices reduce traditional stressors and improve psychological health, supports the significant positive effect on employee wellbeing. However, the unexpected positive link between Smarter Working and job stress provides a more nuanced perspective. While previous studies, such as Chung and van der Lippe (2020) and Umeokafor and Windapo (2020), highlighted the mental health benefits of flexibility, other research (Kakabadse et al., 2017; Frantz &amp; Holmgren, 2019) cautioned that increased digital over-connectivity and workload intensification can paradoxically increase stress levels, which is consistent with the current findings. Thus, while Smarter Working improves satisfaction and wellbeing, organisations must be mindful of its potential to contribute to technostress and burnout (Goh et al., 2015; Rainero &amp; Modarelli, 2020), necessitating strategic interventions to balance flexibility with psychological boundaries.</w:t>
      </w:r>
    </w:p>
    <w:p w14:paraId="77DC19FE"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Furthermore, the findings show that employee wellbeing significantly improves job performance, supporting frameworks proposed by Bryson et al. (2017) and Parker and Grote (2022), who emphasised that high levels of employee wellbeing are directly linked to increased engagement, innovation, and productivity. Although the impact was small, it demonstrates that wellbeing interventions should remain a top organisational priority (Guest, 2017; Van De Voorde et al., 2012). In contrast, the non-significant link between job satisfaction and job performance supports arguments by Bryson et al. (2014) and Wood et al. (2012), implying that satisfaction alone may not always translate into higher outputs if not accompanied by active engagement or wellbeing. Similarly, the rejection of job stress significantly affecting performance is consistent with the findings of Brauchli et al. (2013) and Häusser et al. (2010), who argued that stress can gradually erode long-term commitment rather than cause immediate performance drops. The mediation analysis revealed that wellbeing partially mediates the relationship between Smarter Working and performance, which is consistent with findings from Raguseo et al. (2016) and Bucea-Manea-Ěoniş et al. (2021) that flexibility enhances wellbeing and thus boosts performance. Finally, rejecting HRM practices as a moderator contradicts previous assertions by Dickmann et al. (2016) and Piening et al. (2013), implying that while HRM promotes overall wellbeing, it may not necessarily amplify the specific benefits derived from flexible work models unless strategically aligned. Collectively, these findings emphasise the importance of developing </w:t>
      </w:r>
      <w:r w:rsidRPr="00227727">
        <w:rPr>
          <w:rFonts w:ascii="Arial" w:hAnsi="Arial" w:cs="Arial"/>
          <w:sz w:val="24"/>
          <w:szCs w:val="24"/>
          <w:lang w:bidi="ta-IN"/>
        </w:rPr>
        <w:lastRenderedPageBreak/>
        <w:t>integrated strategies that leverage Smarter Working while actively supporting wellbeing to achieve long-term employee and organisational success.</w:t>
      </w:r>
    </w:p>
    <w:p w14:paraId="51DE2540" w14:textId="77777777" w:rsidR="00227727" w:rsidRPr="00227727" w:rsidRDefault="00227727" w:rsidP="00227727">
      <w:pPr>
        <w:pStyle w:val="Heading4"/>
        <w:spacing w:line="360" w:lineRule="auto"/>
        <w:rPr>
          <w:rFonts w:ascii="Arial" w:hAnsi="Arial" w:cs="Arial"/>
          <w:i w:val="0"/>
        </w:rPr>
      </w:pPr>
      <w:r w:rsidRPr="00227727">
        <w:rPr>
          <w:rFonts w:ascii="Arial" w:hAnsi="Arial" w:cs="Arial"/>
          <w:i w:val="0"/>
        </w:rPr>
        <w:t>Smarter Working and Employees’ Wellbeing (Job Stress and Job Satisfaction)</w:t>
      </w:r>
    </w:p>
    <w:p w14:paraId="5247EB61" w14:textId="77777777" w:rsidR="00227727" w:rsidRPr="00227727" w:rsidRDefault="00227727" w:rsidP="00227727">
      <w:pPr>
        <w:spacing w:after="0" w:line="360" w:lineRule="auto"/>
        <w:jc w:val="both"/>
        <w:rPr>
          <w:rFonts w:ascii="Arial" w:eastAsia="Times New Roman" w:hAnsi="Arial" w:cs="Arial"/>
          <w:color w:val="0E101A"/>
          <w:sz w:val="24"/>
          <w:szCs w:val="24"/>
        </w:rPr>
      </w:pPr>
      <w:r w:rsidRPr="00227727">
        <w:rPr>
          <w:rFonts w:ascii="Arial" w:eastAsia="Times New Roman" w:hAnsi="Arial" w:cs="Arial"/>
          <w:color w:val="0E101A"/>
          <w:sz w:val="24"/>
          <w:szCs w:val="24"/>
        </w:rPr>
        <w:t>The analysis findings provide strong empirical support for the impact of Smarter Working on employee wellbeing, confirming hypothesis H2 (including H2a and H2b). Prior research by Charalampous et al. (2019), Mostafa (2021), and Bucea-Manea-Ěoniş et al. (2021) supports the idea that flexible work arrangements can improve psychological health, work-life integration, and overall wellbeing. The high β value and large effect size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2.168) support the claim that Smarter Working environments, which prioritise autonomy, digital support, and flexibility, significantly improve employee wellbeing outcomes. Chung and van der Lippe (2020) and Bryson et al. (2017) found that reduced commuting, personal control over work schedules, and technological empowerment positively correlate with mental and emotional wellbeing. The findings also align with workplace autonomy and self-determination theories (Ryan &amp; Deci, 2000; Gagné et al., 2022), confirming that providing employees with more flexibility in managing their work processes significantly impacts their wellbeing.</w:t>
      </w:r>
    </w:p>
    <w:p w14:paraId="2C1DCDFE"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Similarly, hypothesis H2a regarding the effect of Smarter Working on job satisfaction is well supported. Previous studies by Wheatley (2017), Ratna and Kaur (2016), and Austin-Egole et al. (2020) have found that Smarter Working conditions lead to significantly higher employee satisfaction levels (β coefficient,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2.068). These studies all emphasised that satisfaction occurs when employees have more control over how and where they work, resulting in a better alignment of professional demands and personal needs. Furthermore, Lake (2016) and Torre and Sarti (2019) found that Smarter Working increases intrinsic motivation and job meaningfulness, which are important predictors of satisfaction. These findings are also consistent with the Self-Determination Theory (Ryan &amp; Deci, 2000), which contends that autonomy and competence, enhanced by flexible work models, are critical to achieving high levels of job satisfaction. As a result, the current findings support the notion that Smarter Working is more than just an operational trend but a strategic tool for increasing employee satisfaction, engagement, and long-term organisational commitment.</w:t>
      </w:r>
    </w:p>
    <w:p w14:paraId="0E745661"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However, the results for hypothesis H2b provide significant and somewhat unexpected insight. Contrary to the hypothesis, Smarter Working was discovered to have a strong positive relationship with job stress, prompting the rejection of H2b. Although Smarter Working promotes wellbeing and satisfaction, it also contributes to increased stress, a phenomenon that has received increasing attention in recent literature (Kakabadse et al., 2017; Hampton, 2017; Frantz &amp; Holmgren, 2019). This finding is consistent with the concerns expressed by Goh, Pfefer, and Zenios (2015), who warned that digital over-connectivity, increased workload expectations, and the erosion of work-life boundaries could outweigh the psychological advantages of flexibility. Similarly, Rainero and Modarelli (2020) and Kylili et al. (2020) investigated how the "always-on" culture fostered by remote and flexible work practices may increase stress, anxiety, and emotional exhaustion. While Smarter Working offers significant benefits, without clear boundaries and support systems, it risks inadvertently increasing job </w:t>
      </w:r>
      <w:r w:rsidRPr="00227727">
        <w:rPr>
          <w:rFonts w:ascii="Arial" w:eastAsia="Times New Roman" w:hAnsi="Arial" w:cs="Arial"/>
          <w:color w:val="0E101A"/>
          <w:sz w:val="24"/>
          <w:szCs w:val="24"/>
        </w:rPr>
        <w:lastRenderedPageBreak/>
        <w:t>demands, resulting in higher stress levels among employees despite perceived autonomy and satisfaction.</w:t>
      </w:r>
    </w:p>
    <w:p w14:paraId="20227732" w14:textId="77777777" w:rsidR="00227727" w:rsidRPr="00227727" w:rsidRDefault="00227727" w:rsidP="00227727">
      <w:pPr>
        <w:spacing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The combination of these findings emphasises an important point for organisations: while Smarter Working significantly improves employee wellbeing and job satisfaction, it also requires proactive management of associated stressors to realise its potential benefits fully. Bucea-Manea-ɚoniş et al. (2021) and Hopkins and McKay (2019) recommend implementing structured support systems, including clear remote work policies, workload management practices, and mental health interventions. The findings are also consistent with the Job Demands-Resources (JD-R) model (Brauchli et al., 2013; Alnoor et al., 2021), which holds that while increased resources (such as autonomy) promote wellbeing, increased demands (such as digital overload) can increase stress. As a result, Smarter Working must be designed holistically, including flexibility, reinforcing boundaries, and providing support to mitigate unintended consequences. Organisations that ignore the dual nature of Smarter Working risk undermining the very wellbeing they seek to improve, despite increases in job satisfaction and engagement. </w:t>
      </w:r>
    </w:p>
    <w:p w14:paraId="6543763B" w14:textId="77777777" w:rsidR="00227727" w:rsidRPr="00227727" w:rsidRDefault="00227727" w:rsidP="00227727">
      <w:pPr>
        <w:pStyle w:val="Heading4"/>
        <w:spacing w:line="360" w:lineRule="auto"/>
        <w:rPr>
          <w:rFonts w:ascii="Arial" w:hAnsi="Arial" w:cs="Arial"/>
          <w:i w:val="0"/>
        </w:rPr>
      </w:pPr>
      <w:r w:rsidRPr="00227727">
        <w:rPr>
          <w:rFonts w:ascii="Arial" w:hAnsi="Arial" w:cs="Arial"/>
          <w:i w:val="0"/>
        </w:rPr>
        <w:t>Employees’ Wellbeing (Job Stress and Job Satisfaction) and Job Performance</w:t>
      </w:r>
    </w:p>
    <w:p w14:paraId="681B90B2" w14:textId="77777777" w:rsidR="00227727" w:rsidRPr="00227727" w:rsidRDefault="00227727" w:rsidP="00227727">
      <w:pPr>
        <w:spacing w:after="0" w:line="360" w:lineRule="auto"/>
        <w:jc w:val="both"/>
        <w:rPr>
          <w:rFonts w:ascii="Arial" w:eastAsia="Times New Roman" w:hAnsi="Arial" w:cs="Arial"/>
          <w:color w:val="0E101A"/>
          <w:sz w:val="24"/>
          <w:szCs w:val="24"/>
        </w:rPr>
      </w:pPr>
      <w:r w:rsidRPr="00227727">
        <w:rPr>
          <w:rFonts w:ascii="Arial" w:eastAsia="Times New Roman" w:hAnsi="Arial" w:cs="Arial"/>
          <w:color w:val="0E101A"/>
          <w:sz w:val="24"/>
          <w:szCs w:val="24"/>
        </w:rPr>
        <w:t>This study is finding of a significant positive relationship between employee wellbeing and job performance lends credence to the argument that improving employees' mental, emotional, and psychological states is critical to improving workplace outcomes. This is consistent with a large body of research indicating that wellbeing is a key driver of productivity, motivation, and innovation (Bryson et al., 2017; Salas-Vallina et al., 2020; Parker &amp; Grote, 2022). Although the effect size was modest (f² = 0.061), the statistical significance shows that wellbeing initiatives can result in tangible organisational benefits, even if the immediate performance gains appear incremental. This finding is consistent with the theoretical underpinnings of Self-Determination Theory (Ryan &amp; Deci, 2000), which states that when basic psychological needs — autonomy, competence, and relatedness — are met, individuals are more likely to internalise work goals, experience higher intrinsic motivation, and perform better. Similarly, the JD-R model (Bakker &amp; Demerouti, 2017) supports this relationship by showing that increased job resources, such as wellbeing support, directly impact work engagement and outcomes. The evidence supports Guest's (2017) and Bucea-Manea-Ěoniş et al.'s (2021) findings that organisations should prioritise employee wellbeing in their performance strategies over traditional incentive structures.</w:t>
      </w:r>
    </w:p>
    <w:p w14:paraId="048ADFA6"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In contrast, rejecting a significant relationship between job satisfaction and job performance marks a significant departure from older theories and confirms more nuanced contemporary research. Early models, such as Hackman and Oldham (1974), proposed the Job Characteristics Model that job satisfaction would naturally lead to improved performance, assuming that happier employees worked harder. However, more recent research, such as that by Wood et al. (2012) and Andrews and Withey (2012), contends that satisfaction alone is insufficient to drive high performance unless combined with deep engagement, meaningful work, and wellness. The study's results support this position, with a </w:t>
      </w:r>
      <w:r w:rsidRPr="00227727">
        <w:rPr>
          <w:rFonts w:ascii="Arial" w:eastAsia="Times New Roman" w:hAnsi="Arial" w:cs="Arial"/>
          <w:color w:val="0E101A"/>
          <w:sz w:val="24"/>
          <w:szCs w:val="24"/>
        </w:rPr>
        <w:lastRenderedPageBreak/>
        <w:t>near-zero β value (0.011) and a non-significant p-value (0.908). Employees may be satisfied due to flexible policies, positive interpersonal relationships, or fair pay, but without intrinsic motivation or wellbeing, this satisfaction does not necessarily translate into increased effort or achievement. These findings are supported by Wheatley (2017) and Ratna and Kaur (2016), who state that satisfaction is more closely related to retention and turnover intentions than performance. As a result, organisations must focus not only on surface-level satisfaction improvements but also on fostering deeper psychological engagement and creating environments that challenge, stimulate, and empower employees.</w:t>
      </w:r>
    </w:p>
    <w:p w14:paraId="5EB294C1"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Similarly, rejecting hypothesis H3b, which states that job stress significantly impacts job performance, sheds light on the dynamics of workplace stress. While some models (such as Johnson &amp; Hall's (1988) Demand-Control model) have proposed that moderate stress can serve as a performance motivator ("eustress"), the findings are more consistent with research warning against romanticising stress. Goh, Pfefer, and Zenios (2015) and Häusser et al. (2010) emphasised that chronic or poorly managed stress causes emotional exhaustion, disengagement, and burnout, ultimately harming individual and organisational outcomes. The small effect size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0.010) and non-significant results indicate that job stress, while initially stimulating, does not lead to sustained high-quality performance over time. Furthermore, Burns and Machin (2013) and Hampton (2017) found that prolonged exposure to high demands without adequate resources depletes cognitive and emotional reserves, resulting in decreased innovation, reduced task focus, and higher absenteeism rates. These findings highlight an important managerial lesson: tolerating high stress levels in the name of productivity is counterproductive, and creating a low-stress, supportive environment should be a strategic imperative for organisations seeking to improve long-term performance.</w:t>
      </w:r>
    </w:p>
    <w:p w14:paraId="0401ABD3"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Furthermore, the confirmation that HRM practices positively impact employee wellbeing reinforces the belief that organisational support systems are critical for developing a resilient, productive workforce. The moderate effect size (</w:t>
      </w:r>
      <w:r w:rsidRPr="00227727">
        <w:rPr>
          <w:rFonts w:ascii="Arial" w:eastAsia="Times New Roman" w:hAnsi="Arial" w:cs="Arial"/>
          <w:i/>
          <w:iCs/>
          <w:color w:val="0E101A"/>
          <w:sz w:val="24"/>
          <w:szCs w:val="24"/>
        </w:rPr>
        <w:t>f²</w:t>
      </w:r>
      <w:r w:rsidRPr="00227727">
        <w:rPr>
          <w:rFonts w:ascii="Arial" w:eastAsia="Times New Roman" w:hAnsi="Arial" w:cs="Arial"/>
          <w:color w:val="0E101A"/>
          <w:sz w:val="24"/>
          <w:szCs w:val="24"/>
        </w:rPr>
        <w:t xml:space="preserve"> = 0.170) and strong statistical significance align with extensive prior research that positions HRM as a key enabler of wellbeing (Guest, 2017; Hauff et al., 2014; Piening et al., 2013). Effective HRM systems, including supportive leadership, fair appraisal mechanisms, career development opportunities, and flexibility policies, contribute to creating an environment in which employees feel valued, respected, and cared for, all of which positively impact their psychological health. This is also consistent with the High-Performance Work Systems (HPWS) literature (Bryson &amp; White, 2021; Ramsay et al., 2000), which identifies wellbeing-focused HRM as critical for improving organisational outcomes. Furthermore, the AMO theory (Appelbaum et al., 2000) states that employees perform optimally when they have the ability, motivation, and opportunity to do so, and wellbeing-supportive HRM practices effectively address all three dimensions. As a result, organisations serious about improving performance cannot rely solely on flexible work models; instead, they must strategically invest in robust HRM frameworks that reinforce employee psychological and emotional assets.</w:t>
      </w:r>
    </w:p>
    <w:p w14:paraId="4F296CDB" w14:textId="77777777" w:rsidR="00227727" w:rsidRPr="00227727" w:rsidRDefault="00227727" w:rsidP="00227727">
      <w:pPr>
        <w:spacing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lastRenderedPageBreak/>
        <w:t xml:space="preserve">These findings form a compelling narrative supporting a holistic approach to workplace management: employee wellbeing is a critical precursor to job performance, job satisfaction alone does not guarantee higher outputs, and unmanaged stress does not yield long-term productivity. HRM practices emerge as administrative tools and strategic levers for creating environments that protect, nurture, and empower employees. These findings are consistent with the broader literature advocating integrating employee wellbeing into organisational strategy (Charalampous et al., 2019; Parker &amp; Knight, 2023; Prus et al., 2017). As workplaces become more flexible, remote, and technologically enabled, organisations that prioritise wellbeing will gain a competitive advantage by leveraging Smarter Working, robust HRM practices, and a deep commitment to psychological health to cultivate short-term performance gains and long-term resilience, loyalty, and innovation. This study provides timely and critical insights for academics and practitioners looking to navigate the future of work using sustainable, human-centred strategies. </w:t>
      </w:r>
    </w:p>
    <w:p w14:paraId="0341F809" w14:textId="77777777" w:rsidR="00227727" w:rsidRPr="00227727" w:rsidRDefault="00227727" w:rsidP="00227727">
      <w:pPr>
        <w:pStyle w:val="Heading4"/>
        <w:spacing w:line="360" w:lineRule="auto"/>
        <w:rPr>
          <w:rFonts w:ascii="Arial" w:hAnsi="Arial" w:cs="Arial"/>
          <w:i w:val="0"/>
        </w:rPr>
      </w:pPr>
      <w:r w:rsidRPr="00227727">
        <w:rPr>
          <w:rFonts w:ascii="Arial" w:hAnsi="Arial" w:cs="Arial"/>
          <w:i w:val="0"/>
        </w:rPr>
        <w:t>Smarter Working, Employees’ Wellbeing (Job Stress and Job Satisfaction) and Job Performance</w:t>
      </w:r>
    </w:p>
    <w:p w14:paraId="14D52905" w14:textId="512B6C2B"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The mediation analysis revealed that employee wellbeing significantly mediates the relationship between Smarter Working and job performance, supporting hypothesis H4. This finding is consistent with a large body of literature confirming that the benefits of flexible and digitally enabled work arrangements are direct and significantly transmitted through improvements in employees' psychological states. Previous research (Charalampous et al., 2019; Chung &amp; van der Lippe, 2020; Mostafa, 2021) has consistently shown that flexible work practices improve feelings of autonomy, reduce traditional workplace stressors, and increase control over work-life balance, all of which contribute to higher levels of wellbeing. According to the Self-Determination Theory (Ryan &amp; Deci, 2000) and the JD-R model (Bakker &amp; Demerouti, 2017), employees with high</w:t>
      </w:r>
      <w:r w:rsidR="00351EFC">
        <w:rPr>
          <w:rFonts w:ascii="Arial" w:hAnsi="Arial" w:cs="Arial"/>
          <w:sz w:val="24"/>
          <w:szCs w:val="24"/>
          <w:lang w:bidi="ta-IN"/>
        </w:rPr>
        <w:t xml:space="preserve"> well</w:t>
      </w:r>
      <w:r w:rsidRPr="00227727">
        <w:rPr>
          <w:rFonts w:ascii="Arial" w:hAnsi="Arial" w:cs="Arial"/>
          <w:sz w:val="24"/>
          <w:szCs w:val="24"/>
          <w:lang w:bidi="ta-IN"/>
        </w:rPr>
        <w:t>-being are more motivated, engaged, and capable of maintaining higher levels of job performance. The mediation path's significant β value (0.236) supports the theory that employee wellbeing plays a crucial role in translating the benefits of Smarter Working into positive work outcomes. As a result, wellbeing is more than just a side effect of flexible work models; it is a critical link between Smarter Working practices and improved organisational performance.</w:t>
      </w:r>
    </w:p>
    <w:p w14:paraId="50935DB0"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The evidence of partial mediation observed here — given that Smarter Working still had a significant direct effect on job performance — suggests that, while flexible and smarter work practices improve performance on their own, their full potential is realised when they also promote employee wellbeing. This pattern is consistent with findings from Parker and Grote (2022) and Guest (2017), who argued that work design initiatives that do not adequately address employee wellbeing risk failing to deliver long-term performance improvements. Furthermore, it is consistent with the findings of Salas-Vallina et al. (2020) and Gastaldi et al. (2014), which indicate that organisations that implement Smarter Working without a clear focus on psychological support may only capture a portion of the potential productivity benefits. In other words, Smarter Working increases operational efficiency, but the concurrent boost in wellbeing strengthens and magnifies its impact on job performance. This argument </w:t>
      </w:r>
      <w:r w:rsidRPr="00227727">
        <w:rPr>
          <w:rFonts w:ascii="Arial" w:hAnsi="Arial" w:cs="Arial"/>
          <w:sz w:val="24"/>
          <w:szCs w:val="24"/>
          <w:lang w:bidi="ta-IN"/>
        </w:rPr>
        <w:lastRenderedPageBreak/>
        <w:t>is supported by research by Bryson et al. (2017) and Piening et al. (2013), which identified employee wellbeing as a key mediating factor in the relationship between workplace innovations and firm-level outcomes. Thus, the findings highlight the importance of organisations developing Smarter Working strategies that explicitly incorporate wellbeing-supportive elements such as flexible hours, clear digital disconnection norms, emotional support systems, and autonomy-enhancing leadership practices.</w:t>
      </w:r>
    </w:p>
    <w:p w14:paraId="407E149C"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The mediating effect identified here has a critical practical implication: Organisations that invest solely in technological tools or remote working policies without also focusing on employees' psychological health are unlikely to reap the full performance benefits of Smarter Working. This study confirms, in line with Torre and Sarti (2019) and Prus et al. (2017), that wellbeing should be viewed as a strategic asset rather than a secondary concern in the era of flexible, digital workplaces. The findings call for a shift in organisational thinking away from a transactional view of Smarter Working (focused solely on logistics or cost savings) and towards a transformational model that sees employee wellbeing as critical to productivity, engagement, and innovation. This approach not only maximises the direct benefits of flexible work practices but also establishes a positive feedback loop in which employees' improved wellbeing drives additional commitment, creativity, and performance, thereby sustaining long-term organisational success. To summarise, the mediating role of employee wellbeing is statistically significant and strategically critical in understanding how Smarter Working truly transforms modern organisations.</w:t>
      </w:r>
    </w:p>
    <w:p w14:paraId="3FE97F30" w14:textId="77777777" w:rsidR="00227727" w:rsidRPr="00227727" w:rsidRDefault="00227727" w:rsidP="00227727">
      <w:pPr>
        <w:pStyle w:val="Heading4"/>
        <w:spacing w:after="0" w:line="360" w:lineRule="auto"/>
        <w:rPr>
          <w:rFonts w:ascii="Arial" w:hAnsi="Arial" w:cs="Arial"/>
          <w:i w:val="0"/>
        </w:rPr>
      </w:pPr>
      <w:r w:rsidRPr="00227727">
        <w:rPr>
          <w:rFonts w:ascii="Arial" w:hAnsi="Arial" w:cs="Arial"/>
          <w:i w:val="0"/>
        </w:rPr>
        <w:t>HRM Practices, Smarter Working, and Employees’ Wellbeing</w:t>
      </w:r>
    </w:p>
    <w:p w14:paraId="7BC11818"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The moderation analysis revealed that HRM practices have no significant moderating effect on the relationship between Smarter Working and psychological wellbeing, resulting in the rejection of hypothesis H5. Despite a positive β coefficient (0.035), the t-value (1.001) and non-significant p-value (0.317) show that the interaction effect is weak and does not affect the strength or direction of the relationship between Smarter Working and employee wellbeing. This finding contradicts previous assumptions made by scholars such as Guest (2017) and Piening et al. (2013), who claimed that supportive HRM environments amplify the benefits of flexible work models. However, it is important to note that the lack of significance observed here is consistent with the viewpoint expressed by Dickmann, Brewster, and Sparrow (2016), who cautioned that the mere presence of HRM practices does not guarantee improved wellbeing unless these practices are deeply embedded into the daily realities and cultures of flexible work. As a result, the findings suggest that, while HRM practices have independent benefits for wellbeing (as previous research has shown), they do not necessarily enhance the strong positive effect of Smarter Working on psychological wellbeing.</w:t>
      </w:r>
    </w:p>
    <w:p w14:paraId="39C651BF"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One possible explanation for this non-significant moderating effect is the evolving nature of Smarter Working itself. According to Charalampous et al. (2019) and Civil Service (2020), Smarter Working refers to a wide range of practices, such as digital empowerment, spatial flexibility, and time autonomy that are designed to improve psychological wellbeing. As a result, when Smarter Working is already well-implemented, it may be powerful enough on its own, leaving little room for HRM practices </w:t>
      </w:r>
      <w:r w:rsidRPr="00227727">
        <w:rPr>
          <w:rFonts w:ascii="Arial" w:hAnsi="Arial" w:cs="Arial"/>
          <w:sz w:val="24"/>
          <w:szCs w:val="24"/>
          <w:lang w:bidi="ta-IN"/>
        </w:rPr>
        <w:lastRenderedPageBreak/>
        <w:t>to exert significant moderating influence. This explanation is consistent with the findings of Russell and Grant (2020) and Gastaldi et al. (2014), who found that in environments where flexible working arrangements are well-designed, employees experience direct and significant wellbeing benefits regardless of other organisational practices. Thus, the interaction between HRM practices and Smarter Working may become statistically redundant when the baseline impact of Smarter Working is already strong, as seen in the high β values observed for direct effects in previous hypotheses in this study.</w:t>
      </w:r>
    </w:p>
    <w:p w14:paraId="083ADDFD"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The non-significant moderation effect could be attributed to a mismatch between formal HRM policies and employee perceptions or experiences with those policies, as expressed by Hauff, Alewell, and Hansen (2014) and Kelliher and De Menezes (2019). Many organisations have formal HRM practices related to wellbeing, such as flexible scheduling or mental health support, but they are inconsistently applied, poorly communicated, or receive uneven support from management. As Hopkins and McKay (2019) and Gumbie, Dhanpat, and Joseph (2023) point out, this disconnect reduces their real-world effectiveness. As a result, even if HRM practices are in place, employees may not see them as effective enough to change the impact of Smarter Working on their wellbeing. Bucea-Manea-ɚoniş et al. (2021) emphasise the importance of organisational culture, leadership behaviour, and employee trust in translating HRM practices into results. HRM initiatives that are not truly integrated into employees' daily lives will have little impact on the relationship between flexible working arrangements and psychological wellbeing.</w:t>
      </w:r>
    </w:p>
    <w:p w14:paraId="5562DEF8"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Overall, these findings point to important practical and theoretical implications. While HRM practices are valuable tools for improving overall employee wellbeing (as confirmed in a separate study), they cannot be assumed to automatically strengthen the wellbeing outcomes of Smarter Working unless they are deliberately aligned and integrated. This supports Torre and Sarti (2019) and Parker and Grote's (2022) calls for organisations to transition from static HR policies to dynamic, responsive HRM systems that continuously adapt to employee needs in flexible working environments. In short, a "good enough" implementation of Smarter Working may already maximise wellbeing to the point where additional HRM efforts, unless extremely targeted, provide little incremental benefit. As a result, organisations should view HRM practices as foundational elements that must be continually refined, personalised, and embedded into Smarter Working frameworks to fully leverage collective potential for improving employee wellbeing and organisational sustainability.</w:t>
      </w:r>
    </w:p>
    <w:p w14:paraId="4D10A271"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b/>
          <w:sz w:val="24"/>
          <w:szCs w:val="24"/>
          <w:lang w:bidi="ta-IN"/>
        </w:rPr>
        <w:t>Table 5.1.</w:t>
      </w:r>
      <w:r w:rsidRPr="00227727">
        <w:rPr>
          <w:rFonts w:ascii="Arial" w:hAnsi="Arial" w:cs="Arial"/>
          <w:sz w:val="24"/>
          <w:szCs w:val="24"/>
          <w:lang w:bidi="ta-IN"/>
        </w:rPr>
        <w:t xml:space="preserve"> Direct, Mediating and Moderating Effects</w:t>
      </w:r>
    </w:p>
    <w:tbl>
      <w:tblPr>
        <w:tblStyle w:val="ListTable6Colourful"/>
        <w:tblW w:w="0" w:type="auto"/>
        <w:tblLook w:val="0620" w:firstRow="1" w:lastRow="0" w:firstColumn="0" w:lastColumn="0" w:noHBand="1" w:noVBand="1"/>
      </w:tblPr>
      <w:tblGrid>
        <w:gridCol w:w="571"/>
        <w:gridCol w:w="1402"/>
        <w:gridCol w:w="3607"/>
        <w:gridCol w:w="767"/>
        <w:gridCol w:w="767"/>
        <w:gridCol w:w="902"/>
        <w:gridCol w:w="849"/>
        <w:gridCol w:w="767"/>
        <w:gridCol w:w="1134"/>
      </w:tblGrid>
      <w:tr w:rsidR="00227727" w:rsidRPr="00227727" w14:paraId="38A01640" w14:textId="77777777" w:rsidTr="00E772F3">
        <w:trPr>
          <w:cnfStyle w:val="100000000000" w:firstRow="1" w:lastRow="0" w:firstColumn="0" w:lastColumn="0" w:oddVBand="0" w:evenVBand="0" w:oddHBand="0" w:evenHBand="0" w:firstRowFirstColumn="0" w:firstRowLastColumn="0" w:lastRowFirstColumn="0" w:lastRowLastColumn="0"/>
        </w:trPr>
        <w:tc>
          <w:tcPr>
            <w:tcW w:w="0" w:type="auto"/>
            <w:hideMark/>
          </w:tcPr>
          <w:p w14:paraId="1234946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No.</w:t>
            </w:r>
          </w:p>
        </w:tc>
        <w:tc>
          <w:tcPr>
            <w:tcW w:w="0" w:type="auto"/>
            <w:hideMark/>
          </w:tcPr>
          <w:p w14:paraId="062F0F77"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Hypothesis</w:t>
            </w:r>
          </w:p>
        </w:tc>
        <w:tc>
          <w:tcPr>
            <w:tcW w:w="0" w:type="auto"/>
            <w:hideMark/>
          </w:tcPr>
          <w:p w14:paraId="5670F0F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Path</w:t>
            </w:r>
          </w:p>
        </w:tc>
        <w:tc>
          <w:tcPr>
            <w:tcW w:w="0" w:type="auto"/>
            <w:hideMark/>
          </w:tcPr>
          <w:p w14:paraId="45DA12EB"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β</w:t>
            </w:r>
          </w:p>
        </w:tc>
        <w:tc>
          <w:tcPr>
            <w:tcW w:w="0" w:type="auto"/>
            <w:hideMark/>
          </w:tcPr>
          <w:p w14:paraId="5A14A89F"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SD</w:t>
            </w:r>
          </w:p>
        </w:tc>
        <w:tc>
          <w:tcPr>
            <w:tcW w:w="0" w:type="auto"/>
            <w:hideMark/>
          </w:tcPr>
          <w:p w14:paraId="6595C123"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t-value</w:t>
            </w:r>
          </w:p>
        </w:tc>
        <w:tc>
          <w:tcPr>
            <w:tcW w:w="0" w:type="auto"/>
            <w:hideMark/>
          </w:tcPr>
          <w:p w14:paraId="3D1F52B4"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p-value</w:t>
            </w:r>
          </w:p>
        </w:tc>
        <w:tc>
          <w:tcPr>
            <w:tcW w:w="0" w:type="auto"/>
            <w:hideMark/>
          </w:tcPr>
          <w:p w14:paraId="75B487F2" w14:textId="77777777" w:rsidR="00227727" w:rsidRPr="00227727" w:rsidRDefault="00227727" w:rsidP="00E772F3">
            <w:pPr>
              <w:spacing w:line="360" w:lineRule="auto"/>
              <w:jc w:val="center"/>
              <w:rPr>
                <w:rFonts w:ascii="Arial" w:eastAsia="Times New Roman" w:hAnsi="Arial" w:cs="Arial"/>
                <w:i/>
                <w:sz w:val="22"/>
              </w:rPr>
            </w:pPr>
            <w:r w:rsidRPr="00227727">
              <w:rPr>
                <w:rFonts w:ascii="Arial" w:eastAsia="Times New Roman" w:hAnsi="Arial" w:cs="Arial"/>
                <w:i/>
                <w:sz w:val="22"/>
              </w:rPr>
              <w:t>f²</w:t>
            </w:r>
          </w:p>
        </w:tc>
        <w:tc>
          <w:tcPr>
            <w:tcW w:w="0" w:type="auto"/>
            <w:hideMark/>
          </w:tcPr>
          <w:p w14:paraId="29D056D6"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Decision</w:t>
            </w:r>
          </w:p>
        </w:tc>
      </w:tr>
      <w:tr w:rsidR="00227727" w:rsidRPr="00227727" w14:paraId="55AC0C88" w14:textId="77777777" w:rsidTr="00E772F3">
        <w:tc>
          <w:tcPr>
            <w:tcW w:w="0" w:type="auto"/>
            <w:hideMark/>
          </w:tcPr>
          <w:p w14:paraId="70826C2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w:t>
            </w:r>
          </w:p>
        </w:tc>
        <w:tc>
          <w:tcPr>
            <w:tcW w:w="0" w:type="auto"/>
            <w:hideMark/>
          </w:tcPr>
          <w:p w14:paraId="567C7C1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H1</w:t>
            </w:r>
          </w:p>
        </w:tc>
        <w:tc>
          <w:tcPr>
            <w:tcW w:w="0" w:type="auto"/>
            <w:hideMark/>
          </w:tcPr>
          <w:p w14:paraId="00B09F4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 Job Performance</w:t>
            </w:r>
          </w:p>
        </w:tc>
        <w:tc>
          <w:tcPr>
            <w:tcW w:w="0" w:type="auto"/>
            <w:hideMark/>
          </w:tcPr>
          <w:p w14:paraId="12DB070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0.321</w:t>
            </w:r>
          </w:p>
        </w:tc>
        <w:tc>
          <w:tcPr>
            <w:tcW w:w="0" w:type="auto"/>
            <w:hideMark/>
          </w:tcPr>
          <w:p w14:paraId="77A8DBF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0.080</w:t>
            </w:r>
          </w:p>
        </w:tc>
        <w:tc>
          <w:tcPr>
            <w:tcW w:w="0" w:type="auto"/>
            <w:hideMark/>
          </w:tcPr>
          <w:p w14:paraId="240BDBA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4.016</w:t>
            </w:r>
          </w:p>
        </w:tc>
        <w:tc>
          <w:tcPr>
            <w:tcW w:w="0" w:type="auto"/>
            <w:hideMark/>
          </w:tcPr>
          <w:p w14:paraId="75F65F0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0.000</w:t>
            </w:r>
          </w:p>
        </w:tc>
        <w:tc>
          <w:tcPr>
            <w:tcW w:w="0" w:type="auto"/>
            <w:hideMark/>
          </w:tcPr>
          <w:p w14:paraId="07A83C5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0.088</w:t>
            </w:r>
          </w:p>
        </w:tc>
        <w:tc>
          <w:tcPr>
            <w:tcW w:w="0" w:type="auto"/>
            <w:hideMark/>
          </w:tcPr>
          <w:p w14:paraId="5C2013F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Accepted</w:t>
            </w:r>
          </w:p>
        </w:tc>
      </w:tr>
      <w:tr w:rsidR="00227727" w:rsidRPr="00227727" w14:paraId="69E14CAD" w14:textId="77777777" w:rsidTr="00E772F3">
        <w:tc>
          <w:tcPr>
            <w:tcW w:w="0" w:type="auto"/>
            <w:hideMark/>
          </w:tcPr>
          <w:p w14:paraId="446990A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2</w:t>
            </w:r>
          </w:p>
        </w:tc>
        <w:tc>
          <w:tcPr>
            <w:tcW w:w="0" w:type="auto"/>
            <w:hideMark/>
          </w:tcPr>
          <w:p w14:paraId="20DF28F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H2</w:t>
            </w:r>
          </w:p>
        </w:tc>
        <w:tc>
          <w:tcPr>
            <w:tcW w:w="0" w:type="auto"/>
            <w:hideMark/>
          </w:tcPr>
          <w:p w14:paraId="2C3269F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 Employee Wellbeing</w:t>
            </w:r>
          </w:p>
        </w:tc>
        <w:tc>
          <w:tcPr>
            <w:tcW w:w="0" w:type="auto"/>
            <w:hideMark/>
          </w:tcPr>
          <w:p w14:paraId="2517D5F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0.598</w:t>
            </w:r>
          </w:p>
        </w:tc>
        <w:tc>
          <w:tcPr>
            <w:tcW w:w="0" w:type="auto"/>
            <w:hideMark/>
          </w:tcPr>
          <w:p w14:paraId="1E7919A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0.051</w:t>
            </w:r>
          </w:p>
        </w:tc>
        <w:tc>
          <w:tcPr>
            <w:tcW w:w="0" w:type="auto"/>
            <w:hideMark/>
          </w:tcPr>
          <w:p w14:paraId="26DA3E9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11.745</w:t>
            </w:r>
          </w:p>
        </w:tc>
        <w:tc>
          <w:tcPr>
            <w:tcW w:w="0" w:type="auto"/>
            <w:hideMark/>
          </w:tcPr>
          <w:p w14:paraId="1D9EEFC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0.000</w:t>
            </w:r>
          </w:p>
        </w:tc>
        <w:tc>
          <w:tcPr>
            <w:tcW w:w="0" w:type="auto"/>
            <w:hideMark/>
          </w:tcPr>
          <w:p w14:paraId="7562955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2.168</w:t>
            </w:r>
          </w:p>
        </w:tc>
        <w:tc>
          <w:tcPr>
            <w:tcW w:w="0" w:type="auto"/>
            <w:hideMark/>
          </w:tcPr>
          <w:p w14:paraId="62080CD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Accepted</w:t>
            </w:r>
          </w:p>
        </w:tc>
      </w:tr>
      <w:tr w:rsidR="00227727" w:rsidRPr="00227727" w14:paraId="27FA29DD" w14:textId="77777777" w:rsidTr="00E772F3">
        <w:tc>
          <w:tcPr>
            <w:tcW w:w="0" w:type="auto"/>
            <w:hideMark/>
          </w:tcPr>
          <w:p w14:paraId="0347680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3</w:t>
            </w:r>
          </w:p>
        </w:tc>
        <w:tc>
          <w:tcPr>
            <w:tcW w:w="0" w:type="auto"/>
            <w:hideMark/>
          </w:tcPr>
          <w:p w14:paraId="656DE26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H2a</w:t>
            </w:r>
          </w:p>
        </w:tc>
        <w:tc>
          <w:tcPr>
            <w:tcW w:w="0" w:type="auto"/>
            <w:hideMark/>
          </w:tcPr>
          <w:p w14:paraId="4394574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 Job Satisfaction</w:t>
            </w:r>
          </w:p>
        </w:tc>
        <w:tc>
          <w:tcPr>
            <w:tcW w:w="0" w:type="auto"/>
            <w:hideMark/>
          </w:tcPr>
          <w:p w14:paraId="2CE5FE7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0.821</w:t>
            </w:r>
          </w:p>
        </w:tc>
        <w:tc>
          <w:tcPr>
            <w:tcW w:w="0" w:type="auto"/>
            <w:hideMark/>
          </w:tcPr>
          <w:p w14:paraId="0E5EE3E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0.022</w:t>
            </w:r>
          </w:p>
        </w:tc>
        <w:tc>
          <w:tcPr>
            <w:tcW w:w="0" w:type="auto"/>
            <w:hideMark/>
          </w:tcPr>
          <w:p w14:paraId="69591CB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37.904</w:t>
            </w:r>
          </w:p>
        </w:tc>
        <w:tc>
          <w:tcPr>
            <w:tcW w:w="0" w:type="auto"/>
            <w:hideMark/>
          </w:tcPr>
          <w:p w14:paraId="1AB024A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0.000</w:t>
            </w:r>
          </w:p>
        </w:tc>
        <w:tc>
          <w:tcPr>
            <w:tcW w:w="0" w:type="auto"/>
            <w:hideMark/>
          </w:tcPr>
          <w:p w14:paraId="727AD1A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2.068</w:t>
            </w:r>
          </w:p>
        </w:tc>
        <w:tc>
          <w:tcPr>
            <w:tcW w:w="0" w:type="auto"/>
            <w:hideMark/>
          </w:tcPr>
          <w:p w14:paraId="6CCA4D0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Accepted</w:t>
            </w:r>
          </w:p>
        </w:tc>
      </w:tr>
      <w:tr w:rsidR="00227727" w:rsidRPr="00227727" w14:paraId="75AA14C3" w14:textId="77777777" w:rsidTr="00E772F3">
        <w:tc>
          <w:tcPr>
            <w:tcW w:w="0" w:type="auto"/>
            <w:hideMark/>
          </w:tcPr>
          <w:p w14:paraId="4324C3C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lastRenderedPageBreak/>
              <w:t>4</w:t>
            </w:r>
          </w:p>
        </w:tc>
        <w:tc>
          <w:tcPr>
            <w:tcW w:w="0" w:type="auto"/>
            <w:hideMark/>
          </w:tcPr>
          <w:p w14:paraId="7478520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H2b</w:t>
            </w:r>
          </w:p>
        </w:tc>
        <w:tc>
          <w:tcPr>
            <w:tcW w:w="0" w:type="auto"/>
            <w:hideMark/>
          </w:tcPr>
          <w:p w14:paraId="46EEFBF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 Job Stress</w:t>
            </w:r>
          </w:p>
        </w:tc>
        <w:tc>
          <w:tcPr>
            <w:tcW w:w="0" w:type="auto"/>
            <w:hideMark/>
          </w:tcPr>
          <w:p w14:paraId="5944A8C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0.811</w:t>
            </w:r>
          </w:p>
        </w:tc>
        <w:tc>
          <w:tcPr>
            <w:tcW w:w="0" w:type="auto"/>
            <w:hideMark/>
          </w:tcPr>
          <w:p w14:paraId="3A0B3AF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0.020</w:t>
            </w:r>
          </w:p>
        </w:tc>
        <w:tc>
          <w:tcPr>
            <w:tcW w:w="0" w:type="auto"/>
            <w:hideMark/>
          </w:tcPr>
          <w:p w14:paraId="5BE23F2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39.728</w:t>
            </w:r>
          </w:p>
        </w:tc>
        <w:tc>
          <w:tcPr>
            <w:tcW w:w="0" w:type="auto"/>
            <w:hideMark/>
          </w:tcPr>
          <w:p w14:paraId="119D3C5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0.000</w:t>
            </w:r>
          </w:p>
        </w:tc>
        <w:tc>
          <w:tcPr>
            <w:tcW w:w="0" w:type="auto"/>
            <w:hideMark/>
          </w:tcPr>
          <w:p w14:paraId="5821B86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0.492</w:t>
            </w:r>
          </w:p>
        </w:tc>
        <w:tc>
          <w:tcPr>
            <w:tcW w:w="0" w:type="auto"/>
            <w:hideMark/>
          </w:tcPr>
          <w:p w14:paraId="20ABB0C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Rejected</w:t>
            </w:r>
          </w:p>
        </w:tc>
      </w:tr>
      <w:tr w:rsidR="00227727" w:rsidRPr="00227727" w14:paraId="2CD2AEE0" w14:textId="77777777" w:rsidTr="00E772F3">
        <w:tc>
          <w:tcPr>
            <w:tcW w:w="0" w:type="auto"/>
            <w:hideMark/>
          </w:tcPr>
          <w:p w14:paraId="18EB85D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5</w:t>
            </w:r>
          </w:p>
        </w:tc>
        <w:tc>
          <w:tcPr>
            <w:tcW w:w="0" w:type="auto"/>
            <w:hideMark/>
          </w:tcPr>
          <w:p w14:paraId="1E79318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H3</w:t>
            </w:r>
          </w:p>
        </w:tc>
        <w:tc>
          <w:tcPr>
            <w:tcW w:w="0" w:type="auto"/>
            <w:hideMark/>
          </w:tcPr>
          <w:p w14:paraId="2A6E3EB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Employee Wellbeing → Job Performance</w:t>
            </w:r>
          </w:p>
        </w:tc>
        <w:tc>
          <w:tcPr>
            <w:tcW w:w="0" w:type="auto"/>
            <w:hideMark/>
          </w:tcPr>
          <w:p w14:paraId="6268EC8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0.395</w:t>
            </w:r>
          </w:p>
        </w:tc>
        <w:tc>
          <w:tcPr>
            <w:tcW w:w="0" w:type="auto"/>
            <w:hideMark/>
          </w:tcPr>
          <w:p w14:paraId="6E473FD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0.085</w:t>
            </w:r>
          </w:p>
        </w:tc>
        <w:tc>
          <w:tcPr>
            <w:tcW w:w="0" w:type="auto"/>
            <w:hideMark/>
          </w:tcPr>
          <w:p w14:paraId="3E69603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4.628</w:t>
            </w:r>
          </w:p>
        </w:tc>
        <w:tc>
          <w:tcPr>
            <w:tcW w:w="0" w:type="auto"/>
            <w:hideMark/>
          </w:tcPr>
          <w:p w14:paraId="6B9E007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0.000</w:t>
            </w:r>
          </w:p>
        </w:tc>
        <w:tc>
          <w:tcPr>
            <w:tcW w:w="0" w:type="auto"/>
            <w:hideMark/>
          </w:tcPr>
          <w:p w14:paraId="2784BC2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0.061</w:t>
            </w:r>
          </w:p>
        </w:tc>
        <w:tc>
          <w:tcPr>
            <w:tcW w:w="0" w:type="auto"/>
            <w:hideMark/>
          </w:tcPr>
          <w:p w14:paraId="2A34209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Accepted</w:t>
            </w:r>
          </w:p>
        </w:tc>
      </w:tr>
      <w:tr w:rsidR="00227727" w:rsidRPr="00227727" w14:paraId="4DE54DE6" w14:textId="77777777" w:rsidTr="00E772F3">
        <w:tc>
          <w:tcPr>
            <w:tcW w:w="0" w:type="auto"/>
            <w:hideMark/>
          </w:tcPr>
          <w:p w14:paraId="298B8A7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6</w:t>
            </w:r>
          </w:p>
        </w:tc>
        <w:tc>
          <w:tcPr>
            <w:tcW w:w="0" w:type="auto"/>
            <w:hideMark/>
          </w:tcPr>
          <w:p w14:paraId="694AB3F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H3a</w:t>
            </w:r>
          </w:p>
        </w:tc>
        <w:tc>
          <w:tcPr>
            <w:tcW w:w="0" w:type="auto"/>
            <w:hideMark/>
          </w:tcPr>
          <w:p w14:paraId="71E6FD4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Satisfaction → Job Performance</w:t>
            </w:r>
          </w:p>
        </w:tc>
        <w:tc>
          <w:tcPr>
            <w:tcW w:w="0" w:type="auto"/>
            <w:hideMark/>
          </w:tcPr>
          <w:p w14:paraId="45901C0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0.011</w:t>
            </w:r>
          </w:p>
        </w:tc>
        <w:tc>
          <w:tcPr>
            <w:tcW w:w="0" w:type="auto"/>
            <w:hideMark/>
          </w:tcPr>
          <w:p w14:paraId="44904D6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0.096</w:t>
            </w:r>
          </w:p>
        </w:tc>
        <w:tc>
          <w:tcPr>
            <w:tcW w:w="0" w:type="auto"/>
            <w:hideMark/>
          </w:tcPr>
          <w:p w14:paraId="6EF7255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0.116</w:t>
            </w:r>
          </w:p>
        </w:tc>
        <w:tc>
          <w:tcPr>
            <w:tcW w:w="0" w:type="auto"/>
            <w:hideMark/>
          </w:tcPr>
          <w:p w14:paraId="1A6147A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0.908</w:t>
            </w:r>
          </w:p>
        </w:tc>
        <w:tc>
          <w:tcPr>
            <w:tcW w:w="0" w:type="auto"/>
            <w:hideMark/>
          </w:tcPr>
          <w:p w14:paraId="2107075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0.000</w:t>
            </w:r>
          </w:p>
        </w:tc>
        <w:tc>
          <w:tcPr>
            <w:tcW w:w="0" w:type="auto"/>
            <w:hideMark/>
          </w:tcPr>
          <w:p w14:paraId="25B28D5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Rejected</w:t>
            </w:r>
          </w:p>
        </w:tc>
      </w:tr>
      <w:tr w:rsidR="00227727" w:rsidRPr="00227727" w14:paraId="0D6107E4" w14:textId="77777777" w:rsidTr="00E772F3">
        <w:tc>
          <w:tcPr>
            <w:tcW w:w="0" w:type="auto"/>
            <w:hideMark/>
          </w:tcPr>
          <w:p w14:paraId="70EA3DB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7</w:t>
            </w:r>
          </w:p>
        </w:tc>
        <w:tc>
          <w:tcPr>
            <w:tcW w:w="0" w:type="auto"/>
            <w:hideMark/>
          </w:tcPr>
          <w:p w14:paraId="654F0C3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H3b</w:t>
            </w:r>
          </w:p>
        </w:tc>
        <w:tc>
          <w:tcPr>
            <w:tcW w:w="0" w:type="auto"/>
            <w:hideMark/>
          </w:tcPr>
          <w:p w14:paraId="24949FB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Job Stress → Job Performance</w:t>
            </w:r>
          </w:p>
        </w:tc>
        <w:tc>
          <w:tcPr>
            <w:tcW w:w="0" w:type="auto"/>
            <w:hideMark/>
          </w:tcPr>
          <w:p w14:paraId="74C0852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0.141</w:t>
            </w:r>
          </w:p>
        </w:tc>
        <w:tc>
          <w:tcPr>
            <w:tcW w:w="0" w:type="auto"/>
            <w:hideMark/>
          </w:tcPr>
          <w:p w14:paraId="18C1EAB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0.074</w:t>
            </w:r>
          </w:p>
        </w:tc>
        <w:tc>
          <w:tcPr>
            <w:tcW w:w="0" w:type="auto"/>
            <w:hideMark/>
          </w:tcPr>
          <w:p w14:paraId="6255259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1.919</w:t>
            </w:r>
          </w:p>
        </w:tc>
        <w:tc>
          <w:tcPr>
            <w:tcW w:w="0" w:type="auto"/>
            <w:hideMark/>
          </w:tcPr>
          <w:p w14:paraId="7790393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0.055</w:t>
            </w:r>
          </w:p>
        </w:tc>
        <w:tc>
          <w:tcPr>
            <w:tcW w:w="0" w:type="auto"/>
            <w:hideMark/>
          </w:tcPr>
          <w:p w14:paraId="72F0F77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0.010</w:t>
            </w:r>
          </w:p>
        </w:tc>
        <w:tc>
          <w:tcPr>
            <w:tcW w:w="0" w:type="auto"/>
            <w:hideMark/>
          </w:tcPr>
          <w:p w14:paraId="2153228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Rejected</w:t>
            </w:r>
          </w:p>
        </w:tc>
      </w:tr>
      <w:tr w:rsidR="00227727" w:rsidRPr="00227727" w14:paraId="76354212" w14:textId="77777777" w:rsidTr="00E772F3">
        <w:tc>
          <w:tcPr>
            <w:tcW w:w="0" w:type="auto"/>
            <w:hideMark/>
          </w:tcPr>
          <w:p w14:paraId="5E785DB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8</w:t>
            </w:r>
          </w:p>
        </w:tc>
        <w:tc>
          <w:tcPr>
            <w:tcW w:w="0" w:type="auto"/>
            <w:hideMark/>
          </w:tcPr>
          <w:p w14:paraId="4AAF1B0E"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3AADB41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 Practices → Employee Wellbeing</w:t>
            </w:r>
          </w:p>
        </w:tc>
        <w:tc>
          <w:tcPr>
            <w:tcW w:w="0" w:type="auto"/>
            <w:hideMark/>
          </w:tcPr>
          <w:p w14:paraId="34E1AAB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0.364</w:t>
            </w:r>
          </w:p>
        </w:tc>
        <w:tc>
          <w:tcPr>
            <w:tcW w:w="0" w:type="auto"/>
            <w:hideMark/>
          </w:tcPr>
          <w:p w14:paraId="505E432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0.052</w:t>
            </w:r>
          </w:p>
        </w:tc>
        <w:tc>
          <w:tcPr>
            <w:tcW w:w="0" w:type="auto"/>
            <w:hideMark/>
          </w:tcPr>
          <w:p w14:paraId="4B4437B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7.028</w:t>
            </w:r>
          </w:p>
        </w:tc>
        <w:tc>
          <w:tcPr>
            <w:tcW w:w="0" w:type="auto"/>
            <w:hideMark/>
          </w:tcPr>
          <w:p w14:paraId="131A58E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0.000</w:t>
            </w:r>
          </w:p>
        </w:tc>
        <w:tc>
          <w:tcPr>
            <w:tcW w:w="0" w:type="auto"/>
            <w:hideMark/>
          </w:tcPr>
          <w:p w14:paraId="74D22FB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0.170</w:t>
            </w:r>
          </w:p>
        </w:tc>
        <w:tc>
          <w:tcPr>
            <w:tcW w:w="0" w:type="auto"/>
            <w:hideMark/>
          </w:tcPr>
          <w:p w14:paraId="3E7DABD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Accepted</w:t>
            </w:r>
          </w:p>
        </w:tc>
      </w:tr>
      <w:tr w:rsidR="00227727" w:rsidRPr="00227727" w14:paraId="76A2596F" w14:textId="77777777" w:rsidTr="00E772F3">
        <w:tc>
          <w:tcPr>
            <w:tcW w:w="0" w:type="auto"/>
            <w:hideMark/>
          </w:tcPr>
          <w:p w14:paraId="7434A1E0"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9</w:t>
            </w:r>
          </w:p>
        </w:tc>
        <w:tc>
          <w:tcPr>
            <w:tcW w:w="0" w:type="auto"/>
            <w:hideMark/>
          </w:tcPr>
          <w:p w14:paraId="2232F97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H4</w:t>
            </w:r>
          </w:p>
        </w:tc>
        <w:tc>
          <w:tcPr>
            <w:tcW w:w="0" w:type="auto"/>
            <w:hideMark/>
          </w:tcPr>
          <w:p w14:paraId="189879F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Smarter Working → Employee Wellbeing → Job Performance (Mediation)</w:t>
            </w:r>
          </w:p>
        </w:tc>
        <w:tc>
          <w:tcPr>
            <w:tcW w:w="0" w:type="auto"/>
            <w:hideMark/>
          </w:tcPr>
          <w:p w14:paraId="2C8C7DC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0.236</w:t>
            </w:r>
          </w:p>
        </w:tc>
        <w:tc>
          <w:tcPr>
            <w:tcW w:w="0" w:type="auto"/>
            <w:hideMark/>
          </w:tcPr>
          <w:p w14:paraId="24C2353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0.051</w:t>
            </w:r>
          </w:p>
        </w:tc>
        <w:tc>
          <w:tcPr>
            <w:tcW w:w="0" w:type="auto"/>
            <w:hideMark/>
          </w:tcPr>
          <w:p w14:paraId="497FD3A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4.617</w:t>
            </w:r>
          </w:p>
        </w:tc>
        <w:tc>
          <w:tcPr>
            <w:tcW w:w="0" w:type="auto"/>
            <w:hideMark/>
          </w:tcPr>
          <w:p w14:paraId="47E847C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0.000</w:t>
            </w:r>
          </w:p>
        </w:tc>
        <w:tc>
          <w:tcPr>
            <w:tcW w:w="0" w:type="auto"/>
            <w:hideMark/>
          </w:tcPr>
          <w:p w14:paraId="35164C0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t>
            </w:r>
          </w:p>
        </w:tc>
        <w:tc>
          <w:tcPr>
            <w:tcW w:w="0" w:type="auto"/>
            <w:hideMark/>
          </w:tcPr>
          <w:p w14:paraId="33704F6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Accepted</w:t>
            </w:r>
          </w:p>
        </w:tc>
      </w:tr>
      <w:tr w:rsidR="00227727" w:rsidRPr="00227727" w14:paraId="1D3628D8" w14:textId="77777777" w:rsidTr="00E772F3">
        <w:tc>
          <w:tcPr>
            <w:tcW w:w="0" w:type="auto"/>
            <w:hideMark/>
          </w:tcPr>
          <w:p w14:paraId="4D4DFAA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10</w:t>
            </w:r>
          </w:p>
        </w:tc>
        <w:tc>
          <w:tcPr>
            <w:tcW w:w="0" w:type="auto"/>
            <w:hideMark/>
          </w:tcPr>
          <w:p w14:paraId="4396825C"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H5</w:t>
            </w:r>
          </w:p>
        </w:tc>
        <w:tc>
          <w:tcPr>
            <w:tcW w:w="0" w:type="auto"/>
            <w:hideMark/>
          </w:tcPr>
          <w:p w14:paraId="0013D02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HRM Practices × Smarter Working → Psychological Wellbeing (Moderation)</w:t>
            </w:r>
          </w:p>
        </w:tc>
        <w:tc>
          <w:tcPr>
            <w:tcW w:w="0" w:type="auto"/>
            <w:hideMark/>
          </w:tcPr>
          <w:p w14:paraId="13251BA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0.035</w:t>
            </w:r>
          </w:p>
        </w:tc>
        <w:tc>
          <w:tcPr>
            <w:tcW w:w="0" w:type="auto"/>
            <w:hideMark/>
          </w:tcPr>
          <w:p w14:paraId="11A25A9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0.035</w:t>
            </w:r>
          </w:p>
        </w:tc>
        <w:tc>
          <w:tcPr>
            <w:tcW w:w="0" w:type="auto"/>
            <w:hideMark/>
          </w:tcPr>
          <w:p w14:paraId="1C7B201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1.001</w:t>
            </w:r>
          </w:p>
        </w:tc>
        <w:tc>
          <w:tcPr>
            <w:tcW w:w="0" w:type="auto"/>
            <w:hideMark/>
          </w:tcPr>
          <w:p w14:paraId="3A8A8E4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0.317</w:t>
            </w:r>
          </w:p>
        </w:tc>
        <w:tc>
          <w:tcPr>
            <w:tcW w:w="0" w:type="auto"/>
            <w:hideMark/>
          </w:tcPr>
          <w:p w14:paraId="708025F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t>
            </w:r>
          </w:p>
        </w:tc>
        <w:tc>
          <w:tcPr>
            <w:tcW w:w="0" w:type="auto"/>
            <w:hideMark/>
          </w:tcPr>
          <w:p w14:paraId="7F3E89B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Rejected</w:t>
            </w:r>
          </w:p>
        </w:tc>
      </w:tr>
    </w:tbl>
    <w:p w14:paraId="41C9A795" w14:textId="77777777" w:rsidR="00227727" w:rsidRPr="00227727" w:rsidRDefault="00227727" w:rsidP="00227727">
      <w:pPr>
        <w:spacing w:line="360" w:lineRule="auto"/>
        <w:rPr>
          <w:rFonts w:ascii="Arial" w:hAnsi="Arial" w:cs="Arial"/>
          <w:sz w:val="24"/>
          <w:szCs w:val="24"/>
          <w:lang w:bidi="ta-IN"/>
        </w:rPr>
      </w:pPr>
    </w:p>
    <w:p w14:paraId="702ED30C" w14:textId="77777777" w:rsidR="00227727" w:rsidRPr="00227727" w:rsidRDefault="00227727" w:rsidP="00351EFC">
      <w:pPr>
        <w:pStyle w:val="Heading3"/>
        <w:rPr>
          <w:i/>
        </w:rPr>
      </w:pPr>
      <w:r w:rsidRPr="00227727">
        <w:t>Summary</w:t>
      </w:r>
    </w:p>
    <w:p w14:paraId="4F635DFB"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This chapter examined the direct, mediating, and moderating effects identified in the structural model, situating the findings within existing theories and empirical research frameworks. The study found that Smarter Working practices significantly positively impact employee wellbeing, job satisfaction, and job performance, adding to the growing evidence that flexible and digitally enabled work environments improve psychological and operational outcomes. However, an unexpected finding was that Smarter Working increased job stress, emphasising the complexities and dualities of flexible work arrangements. The findings also revealed that, while employee wellbeing significantly improves job performance, job satisfaction and job stress were not directly associated with improved performance, implying that wellbeing, rather than satisfaction or reduced stress, plays an important mediating role in the Smarter Working-performance relationship. These findings are consistent with contemporary frameworks such as the Job Demands-Resources model and Self-Determination Theory while also emphasising the need to manage new challenges posed by flexible work designs, such as digital overload and blurred work-life boundaries.</w:t>
      </w:r>
    </w:p>
    <w:p w14:paraId="3219524E"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Furthermore, the chapter emphasised that HRM practices have a significant independent impact on employee wellbeing but do not moderate the relationship between Smarter Working and psychological wellbeing. This finding calls into question the assumption that HRM systems automatically strengthen the effects of flexible work practices, and it emphasises the importance of strategic integration rather than superficial alignment of HRM and flexible work policies. The significant mediating role of employee wellbeing in smarter working and job performance demonstrates that promoting wellbeing is necessary for fully realising the benefits of modern work practices. In contrast, the rejected moderation effect suggests that even strong HRM frameworks must be thoughtfully adapted to modern, autonomous working environments. Overall, this chapter advances our </w:t>
      </w:r>
      <w:r w:rsidRPr="00227727">
        <w:rPr>
          <w:rFonts w:ascii="Arial" w:hAnsi="Arial" w:cs="Arial"/>
          <w:sz w:val="24"/>
          <w:szCs w:val="24"/>
          <w:lang w:bidi="ta-IN"/>
        </w:rPr>
        <w:lastRenderedPageBreak/>
        <w:t>understanding of how Smarter Working, employee wellbeing, and HRM systems interact to influence employee outcomes. It also has important implications for theory, organisational policy, and management practice, encouraging future research to look into how organisations can strategically design smarter work systems that balance autonomy with structure, flexibility with psychological protection, and innovation with wellbeing sustainability.</w:t>
      </w:r>
    </w:p>
    <w:p w14:paraId="1077584D" w14:textId="77777777" w:rsidR="00227727" w:rsidRPr="00227727" w:rsidRDefault="00227727" w:rsidP="00227727">
      <w:pPr>
        <w:spacing w:line="360" w:lineRule="auto"/>
        <w:rPr>
          <w:rFonts w:ascii="Arial" w:hAnsi="Arial" w:cs="Arial"/>
          <w:sz w:val="24"/>
          <w:szCs w:val="24"/>
          <w:lang w:bidi="ta-IN"/>
        </w:rPr>
      </w:pPr>
    </w:p>
    <w:p w14:paraId="4D832CE8" w14:textId="77777777" w:rsidR="00227727" w:rsidRPr="00227727" w:rsidRDefault="00227727" w:rsidP="00227727">
      <w:pPr>
        <w:spacing w:line="360" w:lineRule="auto"/>
        <w:rPr>
          <w:rFonts w:ascii="Arial" w:hAnsi="Arial" w:cs="Arial"/>
          <w:sz w:val="24"/>
          <w:szCs w:val="24"/>
          <w:lang w:bidi="ta-IN"/>
        </w:rPr>
      </w:pPr>
    </w:p>
    <w:p w14:paraId="3C5E9D31" w14:textId="77777777" w:rsidR="00227727" w:rsidRPr="00227727" w:rsidRDefault="00227727" w:rsidP="00227727">
      <w:pPr>
        <w:spacing w:line="360" w:lineRule="auto"/>
        <w:rPr>
          <w:rFonts w:ascii="Arial" w:hAnsi="Arial" w:cs="Arial"/>
          <w:sz w:val="24"/>
          <w:szCs w:val="24"/>
          <w:lang w:bidi="ta-IN"/>
        </w:rPr>
      </w:pPr>
    </w:p>
    <w:p w14:paraId="14C143A2" w14:textId="77777777" w:rsidR="00227727" w:rsidRPr="00227727" w:rsidRDefault="00227727" w:rsidP="00227727">
      <w:pPr>
        <w:spacing w:line="360" w:lineRule="auto"/>
        <w:rPr>
          <w:rFonts w:ascii="Arial" w:hAnsi="Arial" w:cs="Arial"/>
          <w:sz w:val="24"/>
          <w:szCs w:val="24"/>
          <w:lang w:bidi="ta-IN"/>
        </w:rPr>
      </w:pPr>
    </w:p>
    <w:p w14:paraId="554C67BB" w14:textId="77777777" w:rsidR="00227727" w:rsidRPr="00227727" w:rsidRDefault="00227727" w:rsidP="00227727">
      <w:pPr>
        <w:spacing w:line="360" w:lineRule="auto"/>
        <w:rPr>
          <w:rFonts w:ascii="Arial" w:hAnsi="Arial" w:cs="Arial"/>
          <w:sz w:val="24"/>
          <w:szCs w:val="24"/>
          <w:lang w:bidi="ta-IN"/>
        </w:rPr>
      </w:pPr>
    </w:p>
    <w:p w14:paraId="6F344E84" w14:textId="77777777" w:rsidR="00227727" w:rsidRPr="00227727" w:rsidRDefault="00227727" w:rsidP="00227727">
      <w:pPr>
        <w:spacing w:line="360" w:lineRule="auto"/>
        <w:rPr>
          <w:rFonts w:ascii="Arial" w:hAnsi="Arial" w:cs="Arial"/>
          <w:sz w:val="24"/>
          <w:szCs w:val="24"/>
          <w:lang w:bidi="ta-IN"/>
        </w:rPr>
      </w:pPr>
    </w:p>
    <w:p w14:paraId="44B51923" w14:textId="77777777" w:rsidR="00227727" w:rsidRPr="00227727" w:rsidRDefault="00227727" w:rsidP="00227727">
      <w:pPr>
        <w:spacing w:line="360" w:lineRule="auto"/>
        <w:rPr>
          <w:rFonts w:ascii="Arial" w:hAnsi="Arial" w:cs="Arial"/>
          <w:sz w:val="24"/>
          <w:szCs w:val="24"/>
          <w:lang w:bidi="ta-IN"/>
        </w:rPr>
      </w:pPr>
    </w:p>
    <w:p w14:paraId="72921EDD" w14:textId="77777777" w:rsidR="00227727" w:rsidRPr="00227727" w:rsidRDefault="00227727" w:rsidP="00227727">
      <w:pPr>
        <w:spacing w:line="360" w:lineRule="auto"/>
        <w:rPr>
          <w:rFonts w:ascii="Arial" w:hAnsi="Arial" w:cs="Arial"/>
          <w:sz w:val="24"/>
          <w:szCs w:val="24"/>
          <w:lang w:bidi="ta-IN"/>
        </w:rPr>
      </w:pPr>
    </w:p>
    <w:p w14:paraId="6AB70B9A" w14:textId="77777777" w:rsidR="00227727" w:rsidRPr="00227727" w:rsidRDefault="00227727" w:rsidP="00227727">
      <w:pPr>
        <w:spacing w:line="360" w:lineRule="auto"/>
        <w:rPr>
          <w:rFonts w:ascii="Arial" w:hAnsi="Arial" w:cs="Arial"/>
          <w:sz w:val="24"/>
          <w:szCs w:val="24"/>
          <w:lang w:bidi="ta-IN"/>
        </w:rPr>
      </w:pPr>
    </w:p>
    <w:p w14:paraId="0B4514CD" w14:textId="77777777" w:rsidR="00227727" w:rsidRPr="00227727" w:rsidRDefault="00227727" w:rsidP="00227727">
      <w:pPr>
        <w:spacing w:line="360" w:lineRule="auto"/>
        <w:rPr>
          <w:rFonts w:ascii="Arial" w:hAnsi="Arial" w:cs="Arial"/>
          <w:sz w:val="24"/>
          <w:szCs w:val="24"/>
          <w:lang w:bidi="ta-IN"/>
        </w:rPr>
      </w:pPr>
    </w:p>
    <w:p w14:paraId="743BA7A1" w14:textId="77777777" w:rsidR="00227727" w:rsidRPr="00227727" w:rsidRDefault="00227727" w:rsidP="00227727">
      <w:pPr>
        <w:spacing w:line="360" w:lineRule="auto"/>
        <w:rPr>
          <w:rFonts w:ascii="Arial" w:hAnsi="Arial" w:cs="Arial"/>
          <w:sz w:val="24"/>
          <w:szCs w:val="24"/>
          <w:lang w:bidi="ta-IN"/>
        </w:rPr>
      </w:pPr>
    </w:p>
    <w:p w14:paraId="2F9ABD4E" w14:textId="77777777" w:rsidR="00227727" w:rsidRPr="00227727" w:rsidRDefault="00227727" w:rsidP="00227727">
      <w:pPr>
        <w:spacing w:line="360" w:lineRule="auto"/>
        <w:rPr>
          <w:rFonts w:ascii="Arial" w:hAnsi="Arial" w:cs="Arial"/>
          <w:sz w:val="24"/>
          <w:szCs w:val="24"/>
          <w:lang w:bidi="ta-IN"/>
        </w:rPr>
      </w:pPr>
    </w:p>
    <w:p w14:paraId="5E5D2FE0" w14:textId="77777777" w:rsidR="00227727" w:rsidRPr="00227727" w:rsidRDefault="00227727" w:rsidP="00227727">
      <w:pPr>
        <w:spacing w:line="360" w:lineRule="auto"/>
        <w:rPr>
          <w:rFonts w:ascii="Arial" w:hAnsi="Arial" w:cs="Arial"/>
          <w:sz w:val="24"/>
          <w:szCs w:val="24"/>
          <w:lang w:bidi="ta-IN"/>
        </w:rPr>
      </w:pPr>
    </w:p>
    <w:p w14:paraId="38029CB6" w14:textId="77777777" w:rsidR="00227727" w:rsidRPr="00227727" w:rsidRDefault="00227727" w:rsidP="00227727">
      <w:pPr>
        <w:spacing w:line="360" w:lineRule="auto"/>
        <w:rPr>
          <w:rFonts w:ascii="Arial" w:hAnsi="Arial" w:cs="Arial"/>
          <w:sz w:val="24"/>
          <w:szCs w:val="24"/>
          <w:lang w:bidi="ta-IN"/>
        </w:rPr>
      </w:pPr>
    </w:p>
    <w:p w14:paraId="5742C104" w14:textId="77777777" w:rsidR="00227727" w:rsidRPr="00227727" w:rsidRDefault="00227727" w:rsidP="00227727">
      <w:pPr>
        <w:spacing w:line="360" w:lineRule="auto"/>
        <w:rPr>
          <w:rFonts w:ascii="Arial" w:hAnsi="Arial" w:cs="Arial"/>
          <w:sz w:val="24"/>
          <w:szCs w:val="24"/>
          <w:lang w:bidi="ta-IN"/>
        </w:rPr>
      </w:pPr>
    </w:p>
    <w:p w14:paraId="36F39A8F" w14:textId="77777777" w:rsidR="00227727" w:rsidRPr="00227727" w:rsidRDefault="00227727" w:rsidP="00227727">
      <w:pPr>
        <w:spacing w:line="360" w:lineRule="auto"/>
        <w:rPr>
          <w:rFonts w:ascii="Arial" w:hAnsi="Arial" w:cs="Arial"/>
          <w:sz w:val="24"/>
          <w:szCs w:val="24"/>
          <w:lang w:bidi="ta-IN"/>
        </w:rPr>
      </w:pPr>
    </w:p>
    <w:p w14:paraId="3A7D2D33" w14:textId="77777777" w:rsidR="00227727" w:rsidRPr="00227727" w:rsidRDefault="00227727" w:rsidP="00227727">
      <w:pPr>
        <w:spacing w:line="360" w:lineRule="auto"/>
        <w:rPr>
          <w:rFonts w:ascii="Arial" w:hAnsi="Arial" w:cs="Arial"/>
          <w:sz w:val="24"/>
          <w:szCs w:val="24"/>
          <w:lang w:bidi="ta-IN"/>
        </w:rPr>
      </w:pPr>
    </w:p>
    <w:p w14:paraId="6F3BE1C7" w14:textId="77777777" w:rsidR="00227727" w:rsidRPr="00227727" w:rsidRDefault="00227727" w:rsidP="00227727">
      <w:pPr>
        <w:spacing w:line="360" w:lineRule="auto"/>
        <w:rPr>
          <w:rFonts w:ascii="Arial" w:hAnsi="Arial" w:cs="Arial"/>
          <w:sz w:val="24"/>
          <w:szCs w:val="24"/>
          <w:lang w:bidi="ta-IN"/>
        </w:rPr>
      </w:pPr>
    </w:p>
    <w:p w14:paraId="675190D8" w14:textId="77777777" w:rsidR="00227727" w:rsidRPr="00227727" w:rsidRDefault="00227727" w:rsidP="00227727">
      <w:pPr>
        <w:spacing w:line="360" w:lineRule="auto"/>
        <w:rPr>
          <w:rFonts w:ascii="Arial" w:hAnsi="Arial" w:cs="Arial"/>
          <w:sz w:val="24"/>
          <w:szCs w:val="24"/>
          <w:lang w:bidi="ta-IN"/>
        </w:rPr>
      </w:pPr>
    </w:p>
    <w:p w14:paraId="3F2E8A8E" w14:textId="77777777" w:rsidR="00227727" w:rsidRPr="00227727" w:rsidRDefault="00227727" w:rsidP="00227727">
      <w:pPr>
        <w:spacing w:line="360" w:lineRule="auto"/>
        <w:rPr>
          <w:rFonts w:ascii="Arial" w:hAnsi="Arial" w:cs="Arial"/>
          <w:sz w:val="24"/>
          <w:szCs w:val="24"/>
          <w:lang w:bidi="ta-IN"/>
        </w:rPr>
      </w:pPr>
    </w:p>
    <w:p w14:paraId="77864C7D" w14:textId="77777777" w:rsidR="00227727" w:rsidRPr="00227727" w:rsidRDefault="00227727" w:rsidP="00227727">
      <w:pPr>
        <w:spacing w:line="360" w:lineRule="auto"/>
        <w:rPr>
          <w:rFonts w:ascii="Arial" w:hAnsi="Arial" w:cs="Arial"/>
          <w:sz w:val="24"/>
          <w:szCs w:val="24"/>
          <w:lang w:bidi="ta-IN"/>
        </w:rPr>
      </w:pPr>
    </w:p>
    <w:p w14:paraId="76314E9E" w14:textId="77777777" w:rsidR="00227727" w:rsidRPr="00227727" w:rsidRDefault="00227727" w:rsidP="00227727">
      <w:pPr>
        <w:spacing w:line="360" w:lineRule="auto"/>
        <w:rPr>
          <w:rFonts w:ascii="Arial" w:hAnsi="Arial" w:cs="Arial"/>
          <w:sz w:val="24"/>
          <w:szCs w:val="24"/>
          <w:lang w:bidi="ta-IN"/>
        </w:rPr>
      </w:pPr>
    </w:p>
    <w:p w14:paraId="5CA2034D" w14:textId="77777777" w:rsidR="00227727" w:rsidRPr="00227727" w:rsidRDefault="00227727" w:rsidP="00227727">
      <w:pPr>
        <w:spacing w:line="360" w:lineRule="auto"/>
        <w:rPr>
          <w:rFonts w:ascii="Arial" w:hAnsi="Arial" w:cs="Arial"/>
          <w:sz w:val="24"/>
          <w:szCs w:val="24"/>
          <w:lang w:bidi="ta-IN"/>
        </w:rPr>
        <w:sectPr w:rsidR="00227727" w:rsidRPr="00227727" w:rsidSect="00227727">
          <w:pgSz w:w="11900" w:h="16840"/>
          <w:pgMar w:top="567" w:right="567" w:bottom="567" w:left="567" w:header="709" w:footer="709" w:gutter="0"/>
          <w:cols w:space="708"/>
          <w:docGrid w:linePitch="360"/>
        </w:sectPr>
      </w:pPr>
    </w:p>
    <w:p w14:paraId="4E657D35" w14:textId="77777777" w:rsidR="00227727" w:rsidRPr="00227727" w:rsidRDefault="00227727" w:rsidP="00227727">
      <w:pPr>
        <w:pStyle w:val="Heading2"/>
        <w:spacing w:after="0" w:line="360" w:lineRule="auto"/>
        <w:rPr>
          <w:rFonts w:ascii="Arial" w:hAnsi="Arial" w:cs="Arial"/>
        </w:rPr>
      </w:pPr>
      <w:bookmarkStart w:id="15" w:name="_Toc197072222"/>
      <w:r w:rsidRPr="00227727">
        <w:rPr>
          <w:rFonts w:ascii="Arial" w:hAnsi="Arial" w:cs="Arial"/>
        </w:rPr>
        <w:lastRenderedPageBreak/>
        <w:t>CONCLUSION</w:t>
      </w:r>
      <w:bookmarkEnd w:id="15"/>
    </w:p>
    <w:p w14:paraId="26814B19" w14:textId="77777777" w:rsidR="00227727" w:rsidRPr="00227727" w:rsidRDefault="00227727" w:rsidP="00227727">
      <w:pPr>
        <w:spacing w:line="360" w:lineRule="auto"/>
        <w:jc w:val="both"/>
        <w:rPr>
          <w:rFonts w:ascii="Arial" w:hAnsi="Arial" w:cs="Arial"/>
          <w:sz w:val="24"/>
          <w:szCs w:val="24"/>
          <w:lang w:bidi="ta-IN"/>
        </w:rPr>
      </w:pPr>
      <w:r w:rsidRPr="00227727">
        <w:rPr>
          <w:rFonts w:ascii="Arial" w:hAnsi="Arial" w:cs="Arial"/>
          <w:sz w:val="24"/>
          <w:szCs w:val="24"/>
          <w:lang w:bidi="ta-IN"/>
        </w:rPr>
        <w:t>This chapter concludes by systematically revisiting the core factors and critically reflecting on the findings. It begins by restating the research objectives and summarising the methodological approach, emphasising using a quantitative research design to investigate the impact of smarter working practices on employee wellbeing, job satisfaction, job stress, and performance at Network Rail and Transport for London. The chapter then summarises the key findings, emphasising how the study validated and expanded on existing theoretical frameworks, specifically the Job Demands-Resources (JD-R) Model and Self-Determination Theory (SDT). Following the discussion of the findings, the chapter delves into the theoretical implications, demonstrating how the study adds to and refines our theoretical understanding of smarter working and employee outcomes. It then discusses practical implications, providing clear, evidence-based recommendations for managers and organisations to implement smarter working practices better while avoiding unintended consequences like escalating stress. The chapter also discusses the main limitations, recognising the limitations of the methodology and scope. Finally, it proposes detailed future research directions to encourage more robust, dynamic, and contextualised investigations, followed by a reflective closing summary highlighting the contributions to knowledge and practice in the changing work landscape.</w:t>
      </w:r>
    </w:p>
    <w:p w14:paraId="492AC6B0" w14:textId="77777777" w:rsidR="00227727" w:rsidRPr="00227727" w:rsidRDefault="00227727" w:rsidP="00227727">
      <w:pPr>
        <w:spacing w:after="0" w:line="360" w:lineRule="auto"/>
        <w:rPr>
          <w:rFonts w:ascii="Arial" w:hAnsi="Arial" w:cs="Arial"/>
          <w:color w:val="2F5496" w:themeColor="accent1" w:themeShade="BF"/>
          <w:sz w:val="24"/>
          <w:szCs w:val="24"/>
          <w:lang w:bidi="ta-IN"/>
        </w:rPr>
      </w:pPr>
      <w:r w:rsidRPr="00227727">
        <w:rPr>
          <w:rFonts w:ascii="Arial" w:hAnsi="Arial" w:cs="Arial"/>
          <w:color w:val="2F5496" w:themeColor="accent1" w:themeShade="BF"/>
          <w:sz w:val="24"/>
          <w:szCs w:val="24"/>
          <w:lang w:bidi="ta-IN"/>
        </w:rPr>
        <w:t>Concluding Remarks</w:t>
      </w:r>
    </w:p>
    <w:p w14:paraId="09152828"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This research aimed to examine the impact of Smarter Working practices on employee wellbeing, job satisfaction, job stress, and job performance at two major public transport organisations in the United Kingdom: Network Rail and Transport for London. The study aimed to understand better the direct relationships between Smarter Working and key employee outcomes, the mediating role of employee wellbeing in the Smarter Working-job performance relationship, and the moderating role of HRM practices in influencing psychological wellbeing. The study used frameworks such as the Self-Determination Theory and the Job Demands-Resources (JD-R) model to investigate both the positive and potentially negative effects of flexible, digital working environments. This study used a structured, quantitative research methodology called Structural Equation Modelling (SEM) to assess these relationships rigorously and contribute empirical evidence to a field where the dynamics between flexible work practices, HRM support, and employee outcomes are complex and evolving.</w:t>
      </w:r>
    </w:p>
    <w:p w14:paraId="0BB22E52"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The methodology involved surveying 412 employees from various roles, regions, and work arrangements to ensure a representative sample of modern urban public sector workforces. Demographic data showed that the majority of employees were based in London, with roles ranging from IT to Sales and Marketing, Administration, Strategy and Change, and other core functions, as well as a strong representation of hybrid models. The data were analysed using a two-stage SEM process, with the measurement model first validated for reliability and discriminant validity and then the structural model for hypothesis testing. This rigorous approach ensured the findings could be confidently interpreted, providing credible insights into how Smarter Working influences employee wellbeing and organisational performance. The high-quality dataset and analytical procedures, including careful </w:t>
      </w:r>
      <w:r w:rsidRPr="00227727">
        <w:rPr>
          <w:rFonts w:ascii="Arial" w:hAnsi="Arial" w:cs="Arial"/>
          <w:sz w:val="24"/>
          <w:szCs w:val="24"/>
          <w:lang w:bidi="ta-IN"/>
        </w:rPr>
        <w:lastRenderedPageBreak/>
        <w:t>evaluation of model fit indices, provided a solid foundation for testing the hypotheses, filling gaps in previous research that frequently relied on smaller or less diverse samples.</w:t>
      </w:r>
    </w:p>
    <w:p w14:paraId="4DA7C493"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The study found that Smarter Working practices positively impact employee wellbeing (β = 0.598, p &lt; 0.000), job satisfaction (β = 0.821, p &lt; 0.000), and job performance (β = 0.321, p &lt; 0.000). These findings are strongly consistent with previous research by Charalampous et al. (2019), Chung and van der Lippe (2020), and Mostafa (2021), which found that autonomy, flexibility, and digital empowerment improve psychological and operational outcomes. The study found a significant positive correlation between Smarter Working and job stress (β = 0.811, p &lt; 0.000), contradicting previous assumptions that flexible work reduces stress. This paradox reflects growing concerns in the literature (Kakabadse et al., 2017; Hampton, 2017) about the dangers of digital over-connectivity, blurred boundaries, and rising performance expectations associated with Smarter Working environments. Thus, while Smarter Working provides significant benefits in wellbeing, satisfaction, and performance, it also introduces new challenges that must be carefully managed to avoid eroding its positive effects.</w:t>
      </w:r>
    </w:p>
    <w:p w14:paraId="382D0B80"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The analysis confirmed that employee wellbeing significantly enhances job performance (β = 0.395, p &lt; 0.000), supporting theories proposed by Bryson et al. (2017) and Parker and Grote (2022). However, job satisfaction did not significantly impact performance (β = 0.011, p = 0.908), contradicting traditional beliefs (Hackman &amp; Oldham, 1974) that happier employees are automatically better performers. This suggests that, while job satisfaction can help with employee retention and morale, employee wellbeing — which includes physical health, emotional resilience, and psychological engagement — drives actual productivity gains. Job stress did not have a significant relationship with job performance (β = 0.141, p = 0.055), supporting Goh, Pfefer, and Zenios' (2015) warning that chronic stress undermines rather than stimulates sustainable workplace output. These findings highlight the importance of wellbeing as a strategic lever for improving organisational outcomes and the need to move beyond simplistic assumptions that associate satisfaction or moderate stress with performance gains.</w:t>
      </w:r>
    </w:p>
    <w:p w14:paraId="331F0E02"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The mediation analysis found that employee wellbeing partially mediates the relationship between Smarter Working and job performance (β = 0.236, p &lt; 0.000). This partial mediation effect implies that while Smarter Working directly improves job performance, a significant portion of its impact is mediated by its positive influence on employee wellbeing. This is consistent with theoretical propositions from Self-Determination Theory (Ryan &amp; Deci, 2000) and empirical findings by Salas-Vallina et al. (2020), which show that flexible work models are most effective when they promote intrinsic motivation, personal development, and psychological resilience. The findings also highlight the importance of developing Smarter Working practices that maximise operational efficiency and intentionally nurture employee wellbeing, resulting in a virtuous cycle in which improved wellbeing feeds back into higher performance and innovation. Organisations that fail to address the wellbeing dimension risk reaping only limited or fleeting benefits from their flexible work policies.</w:t>
      </w:r>
    </w:p>
    <w:p w14:paraId="49693AC4"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The moderation analysis revealed that HRM practices did not significantly impact the relationship between Smarter Working and psychological wellbeing (β = 0.035, p = 0.317). This finding </w:t>
      </w:r>
      <w:r w:rsidRPr="00227727">
        <w:rPr>
          <w:rFonts w:ascii="Arial" w:hAnsi="Arial" w:cs="Arial"/>
          <w:sz w:val="24"/>
          <w:szCs w:val="24"/>
          <w:lang w:bidi="ta-IN"/>
        </w:rPr>
        <w:lastRenderedPageBreak/>
        <w:t>suggests that, while HRM practices improve wellbeing independently, they do not always amplify the benefits of Smarter Working practices. This finding calls into question High-Performance Work Systems theory's (Bryson &amp; White, 2021; Ramsay et al., 2000) assumptions that synergistic effects should occur when HRM and work design practices are well-aligned. Instead, the findings support Dickmann, Brewster, and Sparrow's (2016) cautionary views, which argue that HRM practices must be fully integrated into employees' lived experiences to have significant influence. This implies that organisations must do more than layer HRM initiatives onto flexible work policies; they must ensure that HRM practices are strategically embedded, consistently applied, and perceived as meaningful by employees in flexible work settings.</w:t>
      </w:r>
    </w:p>
    <w:p w14:paraId="65005B73"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Theoretically, this study advances understanding by emphasising the importance of employee wellbeing as a mediator in the Smarter Working-performance relationship and demonstrating the limitations of HRM moderation effects in modern, flexible work environments. It calls into question traditional assumptions about the linear impact of job satisfaction and stress on performance, emphasising the importance of basing future research on holistic models such as the JD-R framework, which considers complex interactions between demands, resources, and psychological states. Practically, the study provides actionable insights for organisations implementing Smarter Working models, emphasising the importance of incorporating wellbeing strategies into the core design of flexible work, managing digital overload, setting clear boundaries, and investing in responsive and genuinely supportive HRM systems. These findings are especially relevant as organisations increasingly shift to hybrid and remote models in response to global changes in work patterns, where balancing flexibility with psychological sustainability will be a defining challenge.</w:t>
      </w:r>
    </w:p>
    <w:p w14:paraId="59C13A58"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t>Finally, this study offers a thorough, evidence-based examination of how Smarter Working, employee wellbeing, and HRM practices influence individual and organisational outcomes. It confirms that Smarter Working is an effective tool for improving employee wellbeing, satisfaction, and performance, but it also warns against uncritical optimism, revealing that it can exacerbate job stress. It emphasises the importance of employee wellbeing in translating flexible work practices into performance gains, and it advocates for a more integrated approach to HRM practices to maximise these benefits. These findings provide valuable theoretical insights, practical guidance, and strategic reflections for organisations navigating the future of work, emphasising the importance of prioritising flexibility, support, and employee wellbeing together to achieve long-term success.</w:t>
      </w:r>
    </w:p>
    <w:p w14:paraId="64E82D90" w14:textId="77777777" w:rsidR="00227727" w:rsidRPr="00227727" w:rsidRDefault="00227727" w:rsidP="00227727">
      <w:pPr>
        <w:pStyle w:val="Heading4"/>
        <w:spacing w:after="0" w:line="360" w:lineRule="auto"/>
        <w:rPr>
          <w:rFonts w:ascii="Arial" w:hAnsi="Arial" w:cs="Arial"/>
          <w:i w:val="0"/>
        </w:rPr>
      </w:pPr>
      <w:r w:rsidRPr="00227727">
        <w:rPr>
          <w:rFonts w:ascii="Arial" w:hAnsi="Arial" w:cs="Arial"/>
          <w:i w:val="0"/>
        </w:rPr>
        <w:t>Theoretical Implications</w:t>
      </w:r>
    </w:p>
    <w:p w14:paraId="3A28E739"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 xml:space="preserve">This research advances the assumptions of the Job Demands-Resources (JD-R) model and Self-Determination Theory. First, this study provides strong empirical support for the Job Demands-Resources (JD-R) model, demonstrating that Smarter Working practices are an important job resource that improves employee wellbeing, satisfaction, and performance. According to Bakker and de Vries (2021), the JD-R model proposes that job resources such as autonomy, flexibility, and technological support promote a motivational process that leads to positive outcomes such as engagement and </w:t>
      </w:r>
      <w:r w:rsidRPr="00227727">
        <w:rPr>
          <w:rFonts w:ascii="Arial" w:hAnsi="Arial" w:cs="Arial"/>
          <w:sz w:val="24"/>
          <w:szCs w:val="24"/>
          <w:lang w:bidi="ta-IN"/>
        </w:rPr>
        <w:lastRenderedPageBreak/>
        <w:t>improved performance. The findings of this study are closely related to this proposition: employees exposed to Smarter Working environments reported significantly higher levels of wellbeing and job satisfaction, supporting the argument that meaningful job resources can buffer job demands while promoting psychological thriving. Smarter Working reduces traditional work pressures while empowering employees, supporting the resource-building mechanisms discussed by Mazzetti et al. (2016), who emphasised the importance of job autonomy in driving sustained work engagement. Thus, the findings confirm that the JD-R model is still highly relevant in explaining employee outcomes in modern, digitally enabled work environments.</w:t>
      </w:r>
    </w:p>
    <w:p w14:paraId="4E3B3D7D"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The mediating role of employee wellbeing in Smarter Working and job performance strengthens the theoretical relevance of the JD-R model by confirming the motivational pathway central to the model's logic. As Yin et al. (2018) argued, wellbeing acts as a psychological reservoir, allowing employees to convert job resources into tangible performance outcomes. The study's findings revealed that wellbeing significantly mediated the relationship between flexible work practices and job performance, providing direct evidence for this pathway. Furthermore, Dicke et al. (2017) demonstrated through longitudinal analysis that positive job characteristics increase wellbeing over time, predicting better occupational outcomes. In line with these findings, the current study broadens the JD-R model by demonstrating that wellbeing is an active process variable that channels the effects of job resources such as Smarter Working to improve individual performance. As a result, organisations seeking to maximise the benefits of flexible work systems must view employee wellbeing as a strategic link connecting work design to performance excellence.</w:t>
      </w:r>
    </w:p>
    <w:p w14:paraId="51B2BEB3"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Smarter Working improved job satisfaction while increasing job stress, reflecting the JD-R model's dual-process nature, including health impairment and motivational pathways. Zhou et al. (2022) and Ndengu and Leka (2022) emphasised that while job resources promote wellbeing and engagement, excessive demands, even within flexible arrangements, can cause stress responses. Although the finding that job stress is positively associated with Smarter Working contradicts initial hypotheses, it is theoretically consistent with the JD-R assumption that resources must be balanced against demands to optimise outcomes. When resources like flexibility are accompanied by hidden demands, such as expectations for constant connectivity or blurred work-life boundaries, employees may experience resource depletion despite otherwise favourable work conditions. This nuanced interpretation contributes to the JD-R framework by emphasising that not all resource-enhancing interventions are uniformly protective and that job resources' quality, not quantity, determines their ultimate impact on employee health and performance.</w:t>
      </w:r>
    </w:p>
    <w:p w14:paraId="514AAE25"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This study makes another significant contribution to the JD-R literature by examining the role of HRM practices. Although HRM practices improved employee wellbeing independently, they had no significant moderating effect on the relationship between Smarter Working and wellbeing. This finding implies a limitation to the JD-R model's traditional emphasis on job resources: not all supplementary resources interact synergistically. Chuang et al. (2025) and Li et al. (2023) proposed that when core job resources (such as Smarter Working) are adequate, additional interventions may provide </w:t>
      </w:r>
      <w:r w:rsidRPr="00227727">
        <w:rPr>
          <w:rFonts w:ascii="Arial" w:hAnsi="Arial" w:cs="Arial"/>
          <w:sz w:val="24"/>
          <w:szCs w:val="24"/>
          <w:lang w:bidi="ta-IN"/>
        </w:rPr>
        <w:lastRenderedPageBreak/>
        <w:t>diminishing returns unless they address specific new challenges such as digital fatigue or role ambiguity. Thus, the study emphasises the need for the JD-R model better to theorise the contextual and conditional aspects of resource-resource interactions. In highly autonomous work environments, HRM practices must shift from generic wellbeing supports to more personalised, situation-specific interventions that supplement rather than duplicate the existing resource landscape.</w:t>
      </w:r>
    </w:p>
    <w:p w14:paraId="3907A878"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This study broadens the model's application to digital-era work practices by situating Smarter Working within the JD-R framework as a dynamic and evolving type of job resource. Traditional applications of the JD-R model concentrated on physical, relational, and organisational resources. However, as this study demonstrates, digital autonomy, hybrid work models, and flexible technological ecosystems are now critical job resources that necessitate new theoretical treatment. Mazzetti et al. (2016) and Bakker and de Vries (2021) advocated adapting the JD-R model to the realities of modern work structures, such as virtual collaboration, remote leadership, and asynchronous work rhythms. This study responds to that call by empirically validating Smarter Working as a valuable resource within the JD-R structure while cautioning that digital work models can amplify job demands without proper boundary management. Thus, the findings reinforce but also modernise and refine the JD-R model, opening up new avenues for theoretical development in understanding employee wellbeing and performance in the digital age.</w:t>
      </w:r>
    </w:p>
    <w:p w14:paraId="75D6D410"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Yunus et al. (2023) found that high-performance HR practices (HPHRP) significantly impact job demands and employee wellbeing. This aligns with the current research's focus on HRM practices and smarter working conditions, which impact job satisfaction and stress levels. Galanakis and Tsitouri (2022) found that the JD-R model accurately predicts both positive (engagement) and negative (burnout) outcomes in various professions. This supports the idea that smarter working practices can improve wellbeing and reduce stress. Berger et al. (2019) found that job resources and job demands mediate the relationship between leadership behaviours and employee anxiety. This highlights the need for work environments that balance autonomy, support, and clear role expectations, which aligns with the findings of this study. However, autonomy promotes smarter working but can also increase job stress. Tummers and Bakker (2021) found that leadership is a key job resource or demand in the JD-R framework and significantly impacts employee wellbeing. This conceptual flexibility improves the theoretical fit of the current study, which treats HRM practices and smarter working as variables influencing job demands and resources. Mura et al. (2018) found that smarter working environments combined with psychological support can effectively maintain employee wellbeing by buffering the effects of demands. These studies all validate the theoretical assumptions underlying the JD-R model used in this study and call for more nuanced evaluations of modern, flexible working arrangements. They emphasise that without a balance of demands and resources — and careful managerial and organisational interventions — even positive innovations like smarter working may result in paradoxical outcomes, such as increased stress alongside increased satisfaction.</w:t>
      </w:r>
    </w:p>
    <w:p w14:paraId="4D926D29"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ab/>
        <w:t xml:space="preserve">Second, the findings strongly support the relevance of Self-Determination Theory (SDT) in understanding employee wellbeing, satisfaction, and performance in the context of smarter working </w:t>
      </w:r>
      <w:r w:rsidRPr="00227727">
        <w:rPr>
          <w:rFonts w:ascii="Arial" w:hAnsi="Arial" w:cs="Arial"/>
          <w:sz w:val="24"/>
          <w:szCs w:val="24"/>
          <w:lang w:bidi="ta-IN"/>
        </w:rPr>
        <w:lastRenderedPageBreak/>
        <w:t>environments. SDT believes that meeting three basic psychological needs—autonomy, competence, and relatedness—is critical to promoting intrinsic motivation and wellbeing (Ryan &amp; Deci, 2000). The findings, particularly the significant positive relationship between smarter working practices and employee wellbeing and job satisfaction, directly support the proposition from SDT that meeting these psychological needs leads to increased vitality and optimal functioning. Smarter working practices, for example, allow employees to feel more in control of their work by providing flexible and autonomous working arrangements, meeting their need for autonomy and fostering intrinsic motivation. This is consistent with Blechman et al. (2022), who argue that work environments that promote autonomy improve employees' overall psychological wellbeing.</w:t>
      </w:r>
    </w:p>
    <w:p w14:paraId="0572A7C6"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Furthermore, the findings, which show that employee wellbeing significantly improves job performance, support the argument from SDT that wellbeing is a critical antecedent of productive outcomes. According to Nunes, Proença, and Carozzo-Todaro (2024), workplaces that promote intrinsic motivation through supportive environments see higher employee engagement and performance. This finding is consistent with the findings, which show that employees who experience high levels of wellbeing due to smarter working report higher levels of job performance. This finding supports the research of McAnally and Hagger (2024) by demonstrating that psychological need satisfaction is necessary for personal growth and happiness and serves as a driver of organisational success. Furthermore, Krause, North, and Davidson (2019) emphasise that when people perceive their environment as supportive of their autonomy and competence, they are more engaged and perform better in various contexts, including the workplace.</w:t>
      </w:r>
    </w:p>
    <w:p w14:paraId="1A9AFD4C"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The analysis showed that smarter working increases job satisfaction is also inextricably linked to SDT. Satisfaction in SDT stems from an internal state in which autonomy, competence, and relatedness needs are met (Deci &amp; Ryan, 2008). Employees who work in a smarter working framework benefit from greater flexibility, task management options, and, in many cases, more opportunities for self-direction, which helps them meet their psychological needs (Manganelli et al., 2018; Camilleri, 2021). This increased satisfaction results in higher levels of motivation and engagement. Furthermore, Wray-Lake et al. (n.d.) contend that environments that encourage self-endorsed engagement rather than external control promote satisfaction and a sense of purpose at work, reinforcing the mechanisms discussed in this study.</w:t>
      </w:r>
    </w:p>
    <w:p w14:paraId="46F40016"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Surprisingly, the finding that smarter working increases job stress contradicts expectations and provides a nuanced interpretation within the SDT framework. While SDT primarily focuses on the positive outcomes of need satisfaction, it also acknowledges that need frustration can occur when organisational demands overwhelm employees or structural supports are insufficient (Li et al., 2021). Such frustration, despite the autonomy provided by smarter working, can result from technological overload, blurred work-life boundaries, and increased self-imposed performance pressures, as noted by McAnally and Hagger (2024). As a result, this finding emphasises that while smarter working promotes autonomy and flexibility, organisations must also ensure that adequate structures and support systems are in place to avoid the unintended consequences of stress and burnout.</w:t>
      </w:r>
    </w:p>
    <w:p w14:paraId="19B41DAB" w14:textId="77777777" w:rsidR="00227727" w:rsidRPr="00227727" w:rsidRDefault="00227727" w:rsidP="00227727">
      <w:pPr>
        <w:spacing w:line="360" w:lineRule="auto"/>
        <w:ind w:firstLine="720"/>
        <w:jc w:val="both"/>
        <w:rPr>
          <w:rFonts w:ascii="Arial" w:hAnsi="Arial" w:cs="Arial"/>
          <w:sz w:val="24"/>
          <w:szCs w:val="24"/>
          <w:lang w:bidi="ta-IN"/>
        </w:rPr>
      </w:pPr>
      <w:r w:rsidRPr="00227727">
        <w:rPr>
          <w:rFonts w:ascii="Arial" w:hAnsi="Arial" w:cs="Arial"/>
          <w:sz w:val="24"/>
          <w:szCs w:val="24"/>
          <w:lang w:bidi="ta-IN"/>
        </w:rPr>
        <w:lastRenderedPageBreak/>
        <w:t>Finally, the mediating role of employee wellbeing in smarter working and job performance is consistent with SDT's understanding of motivational processes. It demonstrates that the link between supportive organisational practices (smarter working) and improved employee output (performance) is indirect and mediated by internal psychological states (wellbeing) (Blechman et al., 2022; Nunes et al., 2024). This supports the study of Deci and Ryan (2008) that sustainable performance is achieved not through direct control or external incentives but by nurturing employees' intrinsic motivations and meeting their psychological needs. This theoretical implication suggests that interventions to improve workplace outcomes should prioritise wellbeing-oriented strategies over productivity metrics, providing a practical blueprint for HRM policies based on SDT principles.</w:t>
      </w:r>
    </w:p>
    <w:p w14:paraId="2DE2DC26" w14:textId="77777777" w:rsidR="00227727" w:rsidRPr="00227727" w:rsidRDefault="00227727" w:rsidP="00227727">
      <w:pPr>
        <w:pStyle w:val="Heading4"/>
        <w:spacing w:after="0" w:line="360" w:lineRule="auto"/>
        <w:rPr>
          <w:rFonts w:ascii="Arial" w:hAnsi="Arial" w:cs="Arial"/>
          <w:i w:val="0"/>
        </w:rPr>
      </w:pPr>
      <w:r w:rsidRPr="00227727">
        <w:rPr>
          <w:rFonts w:ascii="Arial" w:hAnsi="Arial" w:cs="Arial"/>
          <w:i w:val="0"/>
        </w:rPr>
        <w:t>Policy Implications</w:t>
      </w:r>
    </w:p>
    <w:p w14:paraId="73246C07" w14:textId="77777777" w:rsidR="00227727" w:rsidRPr="00227727" w:rsidRDefault="00227727" w:rsidP="00227727">
      <w:pPr>
        <w:spacing w:after="0" w:line="360" w:lineRule="auto"/>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Despite theoretical implications, this research also provides policy implications. The findings of this study highlight the critical need for smarter working policies that actively balance flexibility and psychological health. While smarter working improved employee wellbeing and satisfaction, it paradoxically increased job stress. As a result, policy frameworks must go beyond simply providing autonomy and flexibility and instead incorporate structured wellbeing safeguards. Based on Camilleri (2021) and Manganelli et al. (2018), organisations such as Network Rail and Transport for London should institutionalise </w:t>
      </w:r>
      <w:r w:rsidRPr="00227727">
        <w:rPr>
          <w:rFonts w:ascii="Arial" w:eastAsia="Times New Roman" w:hAnsi="Arial" w:cs="Arial"/>
          <w:i/>
          <w:iCs/>
          <w:color w:val="0E101A"/>
          <w:sz w:val="24"/>
          <w:szCs w:val="24"/>
        </w:rPr>
        <w:t>"structured flexibility,"</w:t>
      </w:r>
      <w:r w:rsidRPr="00227727">
        <w:rPr>
          <w:rFonts w:ascii="Arial" w:eastAsia="Times New Roman" w:hAnsi="Arial" w:cs="Arial"/>
          <w:color w:val="0E101A"/>
          <w:sz w:val="24"/>
          <w:szCs w:val="24"/>
        </w:rPr>
        <w:t xml:space="preserve"> which entails flexible arrangements accompanied by clear work-life boundaries, digital wellbeing standards, and protected offline time. For example, instituting formal </w:t>
      </w:r>
      <w:r w:rsidRPr="00227727">
        <w:rPr>
          <w:rFonts w:ascii="Arial" w:eastAsia="Times New Roman" w:hAnsi="Arial" w:cs="Arial"/>
          <w:i/>
          <w:iCs/>
          <w:color w:val="0E101A"/>
          <w:sz w:val="24"/>
          <w:szCs w:val="24"/>
        </w:rPr>
        <w:t>"right-to-disconnect"</w:t>
      </w:r>
      <w:r w:rsidRPr="00227727">
        <w:rPr>
          <w:rFonts w:ascii="Arial" w:eastAsia="Times New Roman" w:hAnsi="Arial" w:cs="Arial"/>
          <w:color w:val="0E101A"/>
          <w:sz w:val="24"/>
          <w:szCs w:val="24"/>
        </w:rPr>
        <w:t xml:space="preserve"> policies, mandatory offline breaks, and regulated workload caps would ensure that the benefits of autonomy do not manifest as hidden, chronic stress. Smarter working policies must evolve to treat employee wellbeing as an operational necessity rather than an ancillary HR issue by firmly integrating it into organisational design and leadership accountability structures.</w:t>
      </w:r>
    </w:p>
    <w:p w14:paraId="57513AA8"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Furthermore, smarter working policies should be deliberately based on Self-Determination Theory (SDT), ensuring that the three fundamental psychological needs of autonomy, competence, and relatedness are consistently met. The diversity of roles in Network Rail and Transport for London—from frontline operations to IT—requires nuanced policy interventions that consider different needs across functions. According to Krause, North, and Davidson (2019) and McAnally and Hagger (2024), smarter working initiatives must include personalised development plans, role-specific autonomy frameworks, and ongoing relational support structures like mentoring or peer-coaching programs. Policy must not treat all employees the same way but must be adaptable to smarter working models so that every employee feels competent, connected, and autonomous. This is especially important given the study's finding that job satisfaction alone does not guarantee higher performance unless mediated by genuine psychological wellbeing — a nuance strongly echoed in SDT research.</w:t>
      </w:r>
    </w:p>
    <w:p w14:paraId="62443172"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Policy coherence is clearly required given the evidence that HRM practices improved wellbeing on their own but did not moderate the smarter working-wellbeing relationship. According to Li et al. (2021) and Yunus et al. (2023), HRM policies should be seamlessly integrated into smarter working frameworks rather than operating independently. This entails explicitly designing HR interventions, </w:t>
      </w:r>
      <w:r w:rsidRPr="00227727">
        <w:rPr>
          <w:rFonts w:ascii="Arial" w:eastAsia="Times New Roman" w:hAnsi="Arial" w:cs="Arial"/>
          <w:color w:val="0E101A"/>
          <w:sz w:val="24"/>
          <w:szCs w:val="24"/>
        </w:rPr>
        <w:lastRenderedPageBreak/>
        <w:t>such as wellbeing programs, resilience training, and flexible benefits, in tandem with smarter working strategies so that they reinforce rather than compete with one another. Smarter working policies, for example, must include mandatory wellbeing assessments, performance appraisals, regular mental health audits, and targeted interventions for departments with higher stress indicators. By incorporating HRM practices into the DNA of smarter working structures, organisations can achieve synergistic outcomes for wellbeing and productivity.</w:t>
      </w:r>
    </w:p>
    <w:p w14:paraId="6D29CA43"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Another important takeaway from the findings is the need for systemic leadership development to manage smarter working environments. Angelici and Profeta (2020) and Dickmann et al. (2016) stated that traditional leadership skills are insufficient for managing hybrid or remote teams. Leadership policies in Network Rail and Transport for London must require all managers to receive virtual leadership, emotional intelligence, and remote performance management training. Managers must be prepared to detect and intervene proactively in digital burnout, disengagement, or boundary erosion among smarter workers. To reinforce accountability, leadership evaluations should include employee wellbeing metrics such as stress scores or survey results. As the smarter working model matures, leadership development must be continuous and adaptive, recognising that managing distributed teams is an ever-changing skill that requires constant refinement and institutional support.</w:t>
      </w:r>
    </w:p>
    <w:p w14:paraId="77416319" w14:textId="705F9E7C"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Furthermore, smarter working must be accompanied by strong digital wellbeing policies tailored to public service environments. According to Gastaldi et al. (2014) and Charalampous et al. (2019), without proper digital management, flexible work models risk creating </w:t>
      </w:r>
      <w:r w:rsidR="00693454" w:rsidRPr="00227727">
        <w:rPr>
          <w:rFonts w:ascii="Arial" w:eastAsia="Times New Roman" w:hAnsi="Arial" w:cs="Arial"/>
          <w:color w:val="0E101A"/>
          <w:sz w:val="24"/>
          <w:szCs w:val="24"/>
        </w:rPr>
        <w:t>an</w:t>
      </w:r>
      <w:r w:rsidRPr="00227727">
        <w:rPr>
          <w:rFonts w:ascii="Arial" w:eastAsia="Times New Roman" w:hAnsi="Arial" w:cs="Arial"/>
          <w:color w:val="0E101A"/>
          <w:sz w:val="24"/>
          <w:szCs w:val="24"/>
        </w:rPr>
        <w:t xml:space="preserve"> "always-on" culture that undermines wellbeing. Network Rail and Transport for London's policies must include clear regulations on the number of video meetings per day, limits on after-hours communications, and an active promotion of asynchronous work wherever possible. Furthermore, employee monitoring systems must be ethically designed — not to increase surveillance but to detect early signs of digital overload, such as excessive overtime or declining online engagement. Smarter working should thus be reframed as "healthy, sustainable hours with meaningful autonomy" rather than </w:t>
      </w:r>
      <w:r w:rsidRPr="00227727">
        <w:rPr>
          <w:rFonts w:ascii="Arial" w:eastAsia="Times New Roman" w:hAnsi="Arial" w:cs="Arial"/>
          <w:i/>
          <w:iCs/>
          <w:color w:val="0E101A"/>
          <w:sz w:val="24"/>
          <w:szCs w:val="24"/>
        </w:rPr>
        <w:t>"anytime, anywhere,"</w:t>
      </w:r>
      <w:r w:rsidRPr="00227727">
        <w:rPr>
          <w:rFonts w:ascii="Arial" w:eastAsia="Times New Roman" w:hAnsi="Arial" w:cs="Arial"/>
          <w:color w:val="0E101A"/>
          <w:sz w:val="24"/>
          <w:szCs w:val="24"/>
        </w:rPr>
        <w:t xml:space="preserve"> a distinction critical for ensuring long-term employee wellbeing and organisational performance.</w:t>
      </w:r>
    </w:p>
    <w:p w14:paraId="2283B28A"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The findings highlight the importance of equitable access to smarter working opportunities across roles and grades. As Austin-Egole et al. (2020) and Chung and van der Lippe (2020) have noted, perceived inequity in access to flexibility erodes trust and morale. As a result, Network Rail and Transport for London must create transparent eligibility criteria for hybrid and remote work options, communicate them openly, and establish appeal mechanisms for employees who feel unfairly excluded. Policies must also actively monitor smarter working adoption across departments, genders, age groups, and ethnicities to ensure that the benefits of flexible working are distributed fairly. By incorporating inclusion audits into smarter working policy evaluations, organisations can proactively identify and address emerging disparities, reinforcing a culture of fairness and psychological safety critical for maintaining high performance in public sector environments.</w:t>
      </w:r>
    </w:p>
    <w:p w14:paraId="316526BC"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Another significant implication is the need to rethink performance evaluation frameworks to better align with the realities of smarter working. According to Bryson et al. (2017) and De Ménezes </w:t>
      </w:r>
      <w:r w:rsidRPr="00227727">
        <w:rPr>
          <w:rFonts w:ascii="Arial" w:eastAsia="Times New Roman" w:hAnsi="Arial" w:cs="Arial"/>
          <w:color w:val="0E101A"/>
          <w:sz w:val="24"/>
          <w:szCs w:val="24"/>
        </w:rPr>
        <w:lastRenderedPageBreak/>
        <w:t>and Kelliher (2011), performance policies must shift from presenteeism to outcome-based metrics. Performance management at Network Rail and Transport for London must explicitly value results, output quality, and wellbeing maintenance over hours logged or visibility to managers. Annual reviews, for example, should compare employee contributions to agreed-upon outcomes while also taking into account self-reported wellbeing and digital health scores. Policies must also protect employees from punitive measures for achieving work-life balance, recognising that in a smarter working world, sustainable performance necessitates respecting individual work rhythms rather than imposing uniform schedules.</w:t>
      </w:r>
    </w:p>
    <w:p w14:paraId="108BC288"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Furthermore, smarter working policies should incorporate ongoing participatory redesign processes. Cheese (2020) and Wray-Lake et al. (n.d.) recommend treating employees as co-creators of smarter working systems rather than passive recipients. Policies at Network Rail and Transport for London should include quarterly smarter working feedback forums, cross-departmental smarter working advisory committees, and employee-driven policy reviews. Such structures would ensure that smarter working policies are dynamic, responsive to employee experiences, and adaptable to changing technological, social, and organisational realities. Including participatory governance in smarter working ensures that flexibility is empowering rather than burdensome and that policies are constantly refined to maximise both wellbeing and operational resilience.</w:t>
      </w:r>
    </w:p>
    <w:p w14:paraId="5CB292C7" w14:textId="77777777" w:rsidR="00227727" w:rsidRPr="00227727" w:rsidRDefault="00227727" w:rsidP="00227727">
      <w:pPr>
        <w:spacing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Therefore, public-sector organisations must use their influence to advocate for broader national policy reforms that promote smarter working. According to Dunleavy (2005) and El-Gamry and Heselwood (2018), pioneering organisations can drive systemic change by establishing benchmarks for smarter working practices. Network Rail and Transport for London should work closely with government agencies, unions, and industry associations to advance policies such as national right-to-disconnect laws, tax breaks for sustainable remote work practices, and public funding for digital wellbeing initiatives. Organisations can ensure that their smarter working transformations are part of a larger societal shift towards healthier, more sustainable work models by aligning internal smarter working policies with external advocacy efforts. </w:t>
      </w:r>
    </w:p>
    <w:p w14:paraId="49B5BF0C" w14:textId="77777777" w:rsidR="00227727" w:rsidRPr="00227727" w:rsidRDefault="00227727" w:rsidP="00227727">
      <w:pPr>
        <w:pStyle w:val="Heading4"/>
        <w:spacing w:after="0" w:line="360" w:lineRule="auto"/>
        <w:rPr>
          <w:rFonts w:ascii="Arial" w:hAnsi="Arial" w:cs="Arial"/>
          <w:i w:val="0"/>
        </w:rPr>
      </w:pPr>
      <w:r w:rsidRPr="00227727">
        <w:rPr>
          <w:rFonts w:ascii="Arial" w:hAnsi="Arial" w:cs="Arial"/>
          <w:i w:val="0"/>
        </w:rPr>
        <w:t>Practical Implications</w:t>
      </w:r>
    </w:p>
    <w:p w14:paraId="5C6F18A2" w14:textId="77777777" w:rsidR="00227727" w:rsidRPr="00227727" w:rsidRDefault="00227727" w:rsidP="00227727">
      <w:pPr>
        <w:spacing w:after="0" w:line="360" w:lineRule="auto"/>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The findings have a significant practical implication for managers: they should treat flexibility as a structured management practice that directly supports employee wellbeing and long-term performance. While smarter working initiatives at Network Rail and Transport for London provided employees with greater autonomy, the significant increase in job stress suggests that autonomy without structure leads to overwork, blurred boundaries, and burnout. Line managers should put smarter working into practice by creating clear, individualised work plans that include realistic deadlines, expected availability windows, and mutually agreed-upon </w:t>
      </w:r>
      <w:r w:rsidRPr="00227727">
        <w:rPr>
          <w:rFonts w:ascii="Arial" w:eastAsia="Times New Roman" w:hAnsi="Arial" w:cs="Arial"/>
          <w:i/>
          <w:iCs/>
          <w:color w:val="0E101A"/>
          <w:sz w:val="24"/>
          <w:szCs w:val="24"/>
        </w:rPr>
        <w:t>"switch-off"</w:t>
      </w:r>
      <w:r w:rsidRPr="00227727">
        <w:rPr>
          <w:rFonts w:ascii="Arial" w:eastAsia="Times New Roman" w:hAnsi="Arial" w:cs="Arial"/>
          <w:color w:val="0E101A"/>
          <w:sz w:val="24"/>
          <w:szCs w:val="24"/>
        </w:rPr>
        <w:t xml:space="preserve"> times. For example, hybrid employees can collaborate with supervisors to create weekly schedules that include protected non-meeting blocks, strict limits on after-hours email checking, and expectations for responsiveness. Structured flexibility also entails proactive workload distribution, such as reviewing task assignments regularly, to ensure that autonomy </w:t>
      </w:r>
      <w:r w:rsidRPr="00227727">
        <w:rPr>
          <w:rFonts w:ascii="Arial" w:eastAsia="Times New Roman" w:hAnsi="Arial" w:cs="Arial"/>
          <w:color w:val="0E101A"/>
          <w:sz w:val="24"/>
          <w:szCs w:val="24"/>
        </w:rPr>
        <w:lastRenderedPageBreak/>
        <w:t>does not result in an invisible escalation of demand. According to Camilleri (2021) and Manganelli et al. (2018), meeting employees' autonomy needs under SDT requires a balance of choice within clear, supportive frameworks. Managers must allow employee autonomy while providing the necessary support to avoid stress creep. Without proactive managerial support, smarter working may continue to promote autonomy at the expense of psychological exhaustion, jeopardising performance and employee retention.</w:t>
      </w:r>
    </w:p>
    <w:p w14:paraId="2D10E08F"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Another critical practical implication is that Transport for London and Network Rail managers must develop the ability to manage wellbeing and performance simultaneously, rather than focusing solely on outputs. Traditional performance management frequently focuses on quantifiable deliverables, but the findings of this study show that employee wellbeing significantly mediates the relationship between smarter working and job performance. Thus, practical day-to-day management must evolve to assess and support the "health of the worker" as an equally important dimension of team success. Practical steps include incorporating wellbeing check-ins into regular one-on-ones, including self-assessment of stress and satisfaction in performance conversations, and explicitly recognising contributions that foster a positive team climate. Managers should be trained to recognise signs of burnout and declining engagement and intervene early by redistributing workloads, flexing deadlines, or authorising mental health recovery days. According to Yunus et al. (2023) and Bryson et al. (2017), performance and wellbeing are not competing goals but intertwined outcomes of effective management. A monthly "Wellbeing and Output Tracker," in which employees self-report stress and satisfaction levels and task progress updates, could help managers address issues holistically rather than reactively.</w:t>
      </w:r>
    </w:p>
    <w:p w14:paraId="7B83A264"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Another implication is the need for personalised, smarter working arrangements tailored to different employee groups, rather than implementing uniform, flexible working models across the board. The findings revealed differences in how employees perceived smarter working based on role type, employment level, and location. For example, operational and frontline employees may experience different levels of flexibility than IT, administrative, or communication staff. Practically speaking, HR teams at Network Rail and Transport for London should create a menu of smarter working options — such as remote-first, hybrid, compressed weeks, or flexible start-end times — and allow employees to choose the arrangement that best suits their functional realities and personal wellbeing needs. Managers should be provided with smarter working toolkits that include templates for personalised smarter working agreements and sections on work expectations, communication protocols, team interaction norms, and wellbeing metrics. Differentiated smarter working, like Austin-Egole et al. (2020) and Gastaldi et al. (2014), acknowledges employees' challenges and promotes a genuinely inclusive, flexible workplace. Practical implementation necessitates HR and managers engaging in consultative dialogues with employees when developing smarter working plans, ensuring that flexibility promotes rather than undermines both wellbeing and operational efficiency.</w:t>
      </w:r>
    </w:p>
    <w:p w14:paraId="03F9CB5F"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Another important practical implication of the study's increased stress levels is the urgent need to establish proactive stress monitoring and recovery interventions at the team level. Rather than </w:t>
      </w:r>
      <w:r w:rsidRPr="00227727">
        <w:rPr>
          <w:rFonts w:ascii="Arial" w:eastAsia="Times New Roman" w:hAnsi="Arial" w:cs="Arial"/>
          <w:color w:val="0E101A"/>
          <w:sz w:val="24"/>
          <w:szCs w:val="24"/>
        </w:rPr>
        <w:lastRenderedPageBreak/>
        <w:t>relying on annual engagement surveys or waiting for visible burnout symptoms, practical, smarter working management must include ongoing low-burden stress assessment mechanisms. Managers, for example, can incorporate simple bi-weekly pulse surveys that measure perceived stress, workload fairness, and emotional exhaustion, administer them confidentially, and summarise the results into team-level heatmaps. When pockets of rising stress are identified, managers must be empowered to initiate immediate recovery interventions, such as temporarily reducing non-essential meetings, allowing "wellbeing catch-up" hours, or rotating high-pressure responsibilities among team members. Furthermore, employees should be educated on recognising personal stress signals and encouraged to discuss them openly. As Frantz and Holmgren (2019) discovered, early detection of work-related stress significantly reduces long-term absenteeism and performance declines. In smarter working environments, where managers have less direct visibility into employee wellbeing, implementing practical, real-time stress monitoring is critical to maintaining health and productivity over time.</w:t>
      </w:r>
    </w:p>
    <w:p w14:paraId="20FBA45A" w14:textId="77777777" w:rsidR="00227727" w:rsidRPr="00227727" w:rsidRDefault="00227727" w:rsidP="00227727">
      <w:pPr>
        <w:spacing w:after="0"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Practical experience with smarter working demonstrates that success depends on managerial practices and the strength of peer relationships. The study's findings, particularly the positive role of wellbeing in driving performance, emphasise the importance of formalising peer support structures within smarter working environments. In practice, Network Rail and Transport for London can appoint "Peer Wellbeing Champions" in each team, volunteers trained to serve as informal wellbeing advocates and first points of contact for colleagues facing difficulties. Regularly scheduled, informal team wellbeing huddles, separate from work-related meetings, can provide a safe space for employees to discuss challenges and coping strategies. Managers should explicitly encourage peer mentoring relationships, pairing newer employees with more experienced colleagues to reduce isolation and increase social capital. According to Wray-Lake et al. (n.d.) and Charalampous et al. (2019), social connectedness is an important protective factor against work stress in flexible environments. Practical initiatives such as virtual "coffee roulette" (random peer chats) or team wellbeing newsletters can help to maintain relational ties even in remote settings, reinforcing the SDT principle of meeting the need for relatedness. Even within otherwise flexible systems, smarter working runs the risk of fragmenting, psychologically vulnerable workforces in the absence of strong peer support.</w:t>
      </w:r>
    </w:p>
    <w:p w14:paraId="70DCC3F2" w14:textId="77777777" w:rsidR="00227727" w:rsidRPr="00227727" w:rsidRDefault="00227727" w:rsidP="00227727">
      <w:pPr>
        <w:spacing w:line="360" w:lineRule="auto"/>
        <w:ind w:firstLine="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The practical implication is changing the internal narrative of smarter working from </w:t>
      </w:r>
      <w:r w:rsidRPr="00227727">
        <w:rPr>
          <w:rFonts w:ascii="Arial" w:eastAsia="Times New Roman" w:hAnsi="Arial" w:cs="Arial"/>
          <w:i/>
          <w:iCs/>
          <w:color w:val="0E101A"/>
          <w:sz w:val="24"/>
          <w:szCs w:val="24"/>
        </w:rPr>
        <w:t>"a concession"</w:t>
      </w:r>
      <w:r w:rsidRPr="00227727">
        <w:rPr>
          <w:rFonts w:ascii="Arial" w:eastAsia="Times New Roman" w:hAnsi="Arial" w:cs="Arial"/>
          <w:color w:val="0E101A"/>
          <w:sz w:val="24"/>
          <w:szCs w:val="24"/>
        </w:rPr>
        <w:t xml:space="preserve"> to </w:t>
      </w:r>
      <w:r w:rsidRPr="00227727">
        <w:rPr>
          <w:rFonts w:ascii="Arial" w:eastAsia="Times New Roman" w:hAnsi="Arial" w:cs="Arial"/>
          <w:i/>
          <w:iCs/>
          <w:color w:val="0E101A"/>
          <w:sz w:val="24"/>
          <w:szCs w:val="24"/>
        </w:rPr>
        <w:t>"a strategic tool for sustainable high performance."</w:t>
      </w:r>
      <w:r w:rsidRPr="00227727">
        <w:rPr>
          <w:rFonts w:ascii="Arial" w:eastAsia="Times New Roman" w:hAnsi="Arial" w:cs="Arial"/>
          <w:color w:val="0E101A"/>
          <w:sz w:val="24"/>
          <w:szCs w:val="24"/>
        </w:rPr>
        <w:t xml:space="preserve">  Many organisations continue to view smarter working as a temporary privilege or post-pandemic accommodation, undermining its value and the employee commitment it can generate. Based on research that shows that smarter working improves wellbeing and satisfaction, and thus performance, practical leadership messaging at Network Rail and Transport for London must explicitly frame smarter working as a business performance enhancer. Internal communications campaigns, leadership town halls, and manager team briefings should highlight smarter working success stories related to better service delivery, innovation, or operational excellence. Training sessions should provide employees with frameworks for strategically using flexibility, such as teaching how to structure remote workdays for maximum flow, concentration, and recovery. According to Gastaldi et al. (2014) and Salas-Vallina et al. (2020), when employees </w:t>
      </w:r>
      <w:r w:rsidRPr="00227727">
        <w:rPr>
          <w:rFonts w:ascii="Arial" w:eastAsia="Times New Roman" w:hAnsi="Arial" w:cs="Arial"/>
          <w:color w:val="0E101A"/>
          <w:sz w:val="24"/>
          <w:szCs w:val="24"/>
        </w:rPr>
        <w:lastRenderedPageBreak/>
        <w:t xml:space="preserve">internalise smarter working as a vehicle for mastery and autonomy (in line with SDT), engagement and discretionary effort increase significantly. Practical application necessitates ongoing messaging that promotes smarter working as central to organisational vitality rather than peripheral. </w:t>
      </w:r>
    </w:p>
    <w:p w14:paraId="6055FE0B" w14:textId="77777777" w:rsidR="00227727" w:rsidRPr="00227727" w:rsidRDefault="00227727" w:rsidP="00227727">
      <w:pPr>
        <w:pStyle w:val="Heading4"/>
        <w:spacing w:after="0" w:line="360" w:lineRule="auto"/>
        <w:rPr>
          <w:rFonts w:ascii="Arial" w:hAnsi="Arial" w:cs="Arial"/>
          <w:i w:val="0"/>
        </w:rPr>
      </w:pPr>
      <w:r w:rsidRPr="00227727">
        <w:rPr>
          <w:rFonts w:ascii="Arial" w:hAnsi="Arial" w:cs="Arial"/>
          <w:i w:val="0"/>
        </w:rPr>
        <w:t>Limitations</w:t>
      </w:r>
    </w:p>
    <w:p w14:paraId="5DFFD1D2"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This research also offers limitations. One of the primary limitations of this study is its reliance solely on quantitative methods, which, while providing statistical generalisability, inherently limit the depth of contextual understanding and subjective experiences of employees implementing smarter working practices. While helpful in detecting patterns and testing hypotheses across large samples, quantitative surveys may overlook employees' nuanced interpretations, emotions, and coping mechanisms when navigating flexible work environments (Bryman, 2012). Using pre-defined survey instruments, respondents are forced to choose from a limited set of options, potentially leading to measurement bias in which rich, unexpected insights are systematically excluded. Furthermore, in the context of this study, employees' unique experiences of stress, wellbeing, and satisfaction at Network Rail and Transport for London may include culturally, socially, or individually mediated meanings that numerical data alone cannot fully reveal. This limitation is consistent with criticisms in the literature that emphasise quantitative methods' inability to investigate subjective meaning-making processes in dynamic work environments such as hybrid and remote working contexts (Creswell &amp; Plano Clark, 2018).</w:t>
      </w:r>
    </w:p>
    <w:p w14:paraId="3A215FB9"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Another significant limitation is the possibility of common method variance (CMV), which is well-documented when data for independent and dependent variables are collected simultaneously (Podsakoff et al., 2003). This study used self-reported questionnaires to collect data on smarter working practices, employee wellbeing, satisfaction, stress, and performance. This introduces the risks of social desirability bias, consistency motif, and common rater effects, which could inflate or deflate the true relationships between constructs (Fuller et al., 2016). Although statistical measures such as ensuring respondent anonymity and using established, validated scales were implemented, the mono-method approach could not eliminate the risk. Future research could improve the validity of findings by using methodological triangulation, such as combining self-reports with objective performance data, supervisor ratings, or observational methods, as proposed by leading scholars (MacKenzie &amp; Podsakoff, 2012). Even when statistically significant relationships are observed, the confidence with which causal or directional interpretations can be made is limited without such triangulation.</w:t>
      </w:r>
    </w:p>
    <w:p w14:paraId="2D620E68"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Furthermore, the cross-sectional nature of the quantitative design limits the ability to draw causal conclusions and examine the dynamic evolution of employee experiences over time. While the findings show significant links between smarter working practices and employee outcomes, they do not account for potential longitudinal shifts like adaptation effects, delayed stress onset, or changing satisfaction patterns (Ployhart &amp; Vandenberg, 2010). For example, the initial positive effects of smarter working on wellbeing and satisfaction may diminish or reverse under long-term remote or hybrid conditions if organisational supports weaken. Similarly, stress reactions might manifest cumulatively rather than immediately. Leading researchers have advocated for longitudinal designs in organisational behaviour </w:t>
      </w:r>
      <w:r w:rsidRPr="00227727">
        <w:rPr>
          <w:rFonts w:ascii="Arial" w:hAnsi="Arial" w:cs="Arial"/>
          <w:sz w:val="24"/>
          <w:szCs w:val="24"/>
          <w:lang w:bidi="ta-IN"/>
        </w:rPr>
        <w:lastRenderedPageBreak/>
        <w:t>studies to address temporal complexities (Finkel, 1995; Fisher &amp; To, 2012). Thus, while this study provides a valuable snapshot, its methodological constraint to a single time-point measurement limits its ability to model the dynamic trajectories of smarter working impacts comprehensively.</w:t>
      </w:r>
    </w:p>
    <w:p w14:paraId="25CF6939"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While the quantitative approach provides breadth, it sacrifices contextual specificity, which is especially relevant in the sector-specific (transport and public service) and organisationally unique (Network Rail and Transport for London) environments studied. Employee perceptions of smarter working may be deeply embedded in specific cultural, hierarchical, and operational dynamics that quantitative measures cannot fully reveal (Edmondson &amp; McManus, 2007). Because of differences in operational demands and digital readiness, frontline engineering staff, administrative personnel, and IT specialists will likely have different experiences with smarter working. Qualitative research, such as interviews or ethnographic observations, could have revealed deeper layers of meaning, hidden barriers, facilitating conditions, or contextual adaptations that numbers cannot capture. Scholars such as Grandy (2010) and Gioia, Corley, and Hamilton (2013) have emphasised the importance of thick descriptions in developing theories for emergent organisational phenomena such as digital workplace transformation. As a result, while the quantitative strategy enabled statistical testing of theoretically derived relationships, it also inevitably limited the ability to develop new grounded insights into how smarter working practices are lived and interpreted across various strata of the workforce.</w:t>
      </w:r>
    </w:p>
    <w:p w14:paraId="21048773" w14:textId="77777777" w:rsidR="00227727" w:rsidRPr="00227727" w:rsidRDefault="00227727" w:rsidP="00227727">
      <w:pPr>
        <w:pStyle w:val="Heading4"/>
        <w:spacing w:after="0" w:line="360" w:lineRule="auto"/>
        <w:rPr>
          <w:rFonts w:ascii="Arial" w:hAnsi="Arial" w:cs="Arial"/>
          <w:i w:val="0"/>
        </w:rPr>
      </w:pPr>
      <w:r w:rsidRPr="00227727">
        <w:rPr>
          <w:rFonts w:ascii="Arial" w:hAnsi="Arial" w:cs="Arial"/>
          <w:i w:val="0"/>
        </w:rPr>
        <w:t>Future Directions</w:t>
      </w:r>
    </w:p>
    <w:p w14:paraId="45CD1527" w14:textId="77777777" w:rsidR="00227727" w:rsidRPr="00227727" w:rsidRDefault="00227727" w:rsidP="00227727">
      <w:pPr>
        <w:spacing w:after="0" w:line="360" w:lineRule="auto"/>
        <w:jc w:val="both"/>
        <w:rPr>
          <w:rFonts w:ascii="Arial" w:hAnsi="Arial" w:cs="Arial"/>
          <w:sz w:val="24"/>
          <w:szCs w:val="24"/>
          <w:lang w:bidi="ta-IN"/>
        </w:rPr>
      </w:pPr>
      <w:r w:rsidRPr="00227727">
        <w:rPr>
          <w:rFonts w:ascii="Arial" w:hAnsi="Arial" w:cs="Arial"/>
          <w:sz w:val="24"/>
          <w:szCs w:val="24"/>
          <w:lang w:bidi="ta-IN"/>
        </w:rPr>
        <w:t>Building on the findings while acknowledging the limitations of a quantitative, cross-sectional approach, future research should use mixed-methods or longitudinal designs to capture the dynamic, evolving nature of employee experiences with smarter working practices. A mixed-methods approach would enable researchers to combine quantitative survey data with rich qualitative insights from interviews, focus groups, or ethnographic observations. Such designs would not only validate the statistical relationships discovered here but would also reveal deeper, context-specific narratives about how employees interpret autonomy, satisfaction, stress, and performance in flexible arrangements. Longitudinal mixed-methods studies could track the evolving effects of smarter working across various career stages, organisational changes, and technology adoptions. As Creswell and Plano Clark (2018) and Edmondson and McManus (2007) advocate, methodological pluralism would significantly improve theoretical contributions by revealing emergent processes, boundary conditions, and paradoxes that cannot be identified solely through quantitative snapshots.</w:t>
      </w:r>
    </w:p>
    <w:p w14:paraId="67B152DB"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 xml:space="preserve">Another promising direction is broadening the scope using true longitudinal panel designs to better understand causality and dynamic change over time. While this study found positive associations between smarter working and wellbeing and identified stress paradoxes, it is unclear whether these relationships will persist, amplify, or reverse as smarter working becomes more institutionalised. Future researchers should collect data in multiple waves over at least 12 to 24 months to examine trajectories in employee outcomes such as wellbeing sustainability, stress accumulation, performance plateaus, and satisfaction fatigue. Ployhart and Vandenberg (2010) recommended that panel data be used to model lagged effects, growth curves, and reciprocal influences between smarter working practices and </w:t>
      </w:r>
      <w:r w:rsidRPr="00227727">
        <w:rPr>
          <w:rFonts w:ascii="Arial" w:hAnsi="Arial" w:cs="Arial"/>
          <w:sz w:val="24"/>
          <w:szCs w:val="24"/>
          <w:lang w:bidi="ta-IN"/>
        </w:rPr>
        <w:lastRenderedPageBreak/>
        <w:t>employee experiences. This is especially relevant for public sector organisations such as Network Rail and Transport for London, where external factors (e.g., political reforms, funding shifts, infrastructure projects) may interact with internal smarter working initiatives to produce complex, nonlinear effects on employee outcomes.</w:t>
      </w:r>
    </w:p>
    <w:p w14:paraId="18C485A9"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Future research should examine cross-sector and cross-cultural comparisons to see how smarter working practices work in different organisational and societal contexts. While this study focused on UK public sector transport organisations, sectoral norms (e.g., private vs. public), national culture (e.g., high vs. low power distance societies), and industry-specific technological infrastructures will all likely influence smarter working dynamics. Comparative studies could look into how smarter working impacts differ between knowledge-intensive industries (e.g., IT, consulting), service sectors (e.g., healthcare, education), and infrastructure sectors (e.g., transportation, energy).  Furthermore, cross-country studies could examine how regulatory environments, digital readiness, and cultural attitudes towards autonomy influence smarter working outcomes. Building on the work of Hofstede (1980) and Edwards, Batt, and Wright (2006), future research may reveal contextual moderators that either strengthen or weaken the effectiveness of smarter working strategies. Such comparative research would significantly advance theoretical understanding and practical applicability across organisational forms and cultural contexts.</w:t>
      </w:r>
    </w:p>
    <w:p w14:paraId="46485FAA" w14:textId="77777777" w:rsidR="00227727" w:rsidRPr="00227727" w:rsidRDefault="00227727" w:rsidP="00227727">
      <w:pPr>
        <w:spacing w:after="0" w:line="360" w:lineRule="auto"/>
        <w:ind w:firstLine="720"/>
        <w:jc w:val="both"/>
        <w:rPr>
          <w:rFonts w:ascii="Arial" w:hAnsi="Arial" w:cs="Arial"/>
          <w:sz w:val="24"/>
          <w:szCs w:val="24"/>
          <w:lang w:bidi="ta-IN"/>
        </w:rPr>
      </w:pPr>
      <w:r w:rsidRPr="00227727">
        <w:rPr>
          <w:rFonts w:ascii="Arial" w:hAnsi="Arial" w:cs="Arial"/>
          <w:sz w:val="24"/>
          <w:szCs w:val="24"/>
          <w:lang w:bidi="ta-IN"/>
        </w:rPr>
        <w:t>Another important area for future research is investigating individual differences and boundary conditions that influence the relationship between smarter working, wellbeing, stress, and performance. While this study assumed relatively uniform responses across employees, psychological theories such as trait activation theory and self-determination theory suggest that individual factors such as personality traits (e.g., conscientiousness, resilience), career orientation (e.g., protean careers), and motivational styles (e.g., intrinsic vs extrinsic) may influence how smarter working is perceived. Highly autonomous employees may thrive in flexible environments, whereas highly structure-seeking employees may experience anxiety. Future research could employ experimental or quasi-experimental designs to systematically test how such personal characteristics interact with smarter workplace interventions. Advanced statistical techniques, such as multilevel modelling (MLM) and latent profile analysis (LPA), could be used to model these moderating effects. Such efforts would improve theoretical models by determining "for whom" and "under what conditions" smarter working produces optimal or suboptimal outcomes, thereby increasing the precision of smarter working theories and practices.</w:t>
      </w:r>
    </w:p>
    <w:p w14:paraId="618ACA3B" w14:textId="77777777" w:rsidR="00227727" w:rsidRPr="00227727" w:rsidRDefault="00227727" w:rsidP="00227727">
      <w:pPr>
        <w:spacing w:line="360" w:lineRule="auto"/>
        <w:ind w:firstLine="720"/>
        <w:jc w:val="both"/>
        <w:rPr>
          <w:rFonts w:ascii="Arial" w:hAnsi="Arial" w:cs="Arial"/>
          <w:sz w:val="24"/>
          <w:szCs w:val="24"/>
          <w:lang w:bidi="ta-IN"/>
        </w:rPr>
        <w:sectPr w:rsidR="00227727" w:rsidRPr="00227727" w:rsidSect="00227727">
          <w:pgSz w:w="11900" w:h="16840"/>
          <w:pgMar w:top="567" w:right="567" w:bottom="567" w:left="567" w:header="709" w:footer="709" w:gutter="0"/>
          <w:cols w:space="708"/>
          <w:docGrid w:linePitch="360"/>
        </w:sectPr>
      </w:pPr>
      <w:r w:rsidRPr="00227727">
        <w:rPr>
          <w:rFonts w:ascii="Arial" w:hAnsi="Arial" w:cs="Arial"/>
          <w:sz w:val="24"/>
          <w:szCs w:val="24"/>
          <w:lang w:bidi="ta-IN"/>
        </w:rPr>
        <w:t xml:space="preserve">Future research should examine how organisational support mechanisms, leadership styles, and HRM system configurations influence the success of smarter working initiatives. Although this study looked at HRM practices in general, future research could break down specific HRM bundles (e.g., wellbeing-focused HRM, development-focused HRM) and leadership approaches (e.g., transformational, servant, digital leadership) to assess their relative impacts. According to Kundu, Malhan, and Kumar (2023) and Breevaart and Bakker (2018), supportive leadership and high-involvement HRM systems amplify positive employee outcomes in flexible work arrangements, </w:t>
      </w:r>
      <w:r w:rsidRPr="00227727">
        <w:rPr>
          <w:rFonts w:ascii="Arial" w:hAnsi="Arial" w:cs="Arial"/>
          <w:sz w:val="24"/>
          <w:szCs w:val="24"/>
          <w:lang w:bidi="ta-IN"/>
        </w:rPr>
        <w:lastRenderedPageBreak/>
        <w:t>whereas controlling and bureaucratic systems increase stress. Future research could thus develop contingency models that model smarter working effectiveness by aligning employee expectations, leadership behaviours, and HRM configurations. This would advance theoretical debates about the contextual embeddedness of flexible working and provide more precise strategic insights for public and private sector organisations looking to optimise their smarter working transformations in an increasingly digital, complex, and employee-driven era.</w:t>
      </w:r>
    </w:p>
    <w:p w14:paraId="247D3298" w14:textId="77777777" w:rsidR="00227727" w:rsidRPr="00227727" w:rsidRDefault="00227727" w:rsidP="00227727">
      <w:pPr>
        <w:pStyle w:val="Heading2"/>
        <w:spacing w:line="360" w:lineRule="auto"/>
        <w:rPr>
          <w:rFonts w:ascii="Arial" w:hAnsi="Arial" w:cs="Arial"/>
        </w:rPr>
      </w:pPr>
      <w:bookmarkStart w:id="16" w:name="_Toc197072223"/>
      <w:r w:rsidRPr="00227727">
        <w:rPr>
          <w:rFonts w:ascii="Arial" w:hAnsi="Arial" w:cs="Arial"/>
        </w:rPr>
        <w:lastRenderedPageBreak/>
        <w:t>REFERENCES</w:t>
      </w:r>
      <w:bookmarkEnd w:id="16"/>
    </w:p>
    <w:p w14:paraId="720AC00A"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Acharya, A. S., Prakash, A., Saxena, P., &amp; Nigam, A. (2013). Sampling: Why and how of it. </w:t>
      </w:r>
      <w:r w:rsidRPr="00227727">
        <w:rPr>
          <w:rFonts w:ascii="Arial" w:hAnsi="Arial" w:cs="Arial"/>
          <w:i/>
          <w:iCs/>
          <w:color w:val="000000" w:themeColor="text1"/>
          <w:sz w:val="24"/>
          <w:szCs w:val="24"/>
        </w:rPr>
        <w:t>Indian Journal of Medical Specialties</w:t>
      </w:r>
      <w:r w:rsidRPr="00227727">
        <w:rPr>
          <w:rFonts w:ascii="Arial" w:hAnsi="Arial" w:cs="Arial"/>
          <w:color w:val="000000" w:themeColor="text1"/>
          <w:sz w:val="24"/>
          <w:szCs w:val="24"/>
        </w:rPr>
        <w:t>, 330-333.</w:t>
      </w:r>
    </w:p>
    <w:p w14:paraId="21764322"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Al-Ababneh, M. M. (2020). Linking ontology, epistemology and research methodology. </w:t>
      </w:r>
      <w:r w:rsidRPr="00227727">
        <w:rPr>
          <w:rStyle w:val="Emphasis"/>
          <w:rFonts w:ascii="Arial" w:eastAsiaTheme="majorEastAsia" w:hAnsi="Arial" w:cs="Arial"/>
          <w:lang w:val="en-GB"/>
        </w:rPr>
        <w:t>Science &amp; Philosophy, 8</w:t>
      </w:r>
      <w:r w:rsidRPr="00227727">
        <w:rPr>
          <w:rFonts w:ascii="Arial" w:hAnsi="Arial" w:cs="Arial"/>
          <w:lang w:val="en-GB"/>
        </w:rPr>
        <w:t>(1), 75–91.</w:t>
      </w:r>
    </w:p>
    <w:p w14:paraId="50FA40C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Al-Jubari, I., Mosbah, A., &amp; Salem, S. F. (2022). Employee well-being during COVID-19 pandemic: The role of adaptability, work-family conflict, and organizational response. </w:t>
      </w:r>
      <w:r w:rsidRPr="00227727">
        <w:rPr>
          <w:rFonts w:ascii="Arial" w:hAnsi="Arial" w:cs="Arial"/>
          <w:i/>
          <w:iCs/>
          <w:sz w:val="24"/>
          <w:szCs w:val="24"/>
        </w:rPr>
        <w:t>Sage Open</w:t>
      </w:r>
      <w:r w:rsidRPr="00227727">
        <w:rPr>
          <w:rFonts w:ascii="Arial" w:hAnsi="Arial" w:cs="Arial"/>
          <w:sz w:val="24"/>
          <w:szCs w:val="24"/>
        </w:rPr>
        <w:t>, </w:t>
      </w:r>
      <w:r w:rsidRPr="00227727">
        <w:rPr>
          <w:rFonts w:ascii="Arial" w:hAnsi="Arial" w:cs="Arial"/>
          <w:i/>
          <w:iCs/>
          <w:sz w:val="24"/>
          <w:szCs w:val="24"/>
        </w:rPr>
        <w:t>12</w:t>
      </w:r>
      <w:r w:rsidRPr="00227727">
        <w:rPr>
          <w:rFonts w:ascii="Arial" w:hAnsi="Arial" w:cs="Arial"/>
          <w:sz w:val="24"/>
          <w:szCs w:val="24"/>
        </w:rPr>
        <w:t>(3), 21582440221096142.</w:t>
      </w:r>
    </w:p>
    <w:p w14:paraId="2B94BCF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AlMarar, R., Alkhodari, A., Atia, D.Y., Mohamed, S. and Shubair, R.M., 2021. Working Remotely During the COVID-19 Pandemic: Efforts of the Ministry of Education in the United Arab Emirates. TIJAB (The International Journal of Applied Business), 5(1), pp.1-17.</w:t>
      </w:r>
    </w:p>
    <w:p w14:paraId="0421DD99"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Alnoor, A., Abdullah, H. O., &amp; Abbas, S. (2021). A Fuzzy Delphi analytic job demands-resources model to rank factors influencing open innovation. </w:t>
      </w:r>
      <w:r w:rsidRPr="00227727">
        <w:rPr>
          <w:rFonts w:ascii="Arial" w:eastAsia="Times New Roman" w:hAnsi="Arial" w:cs="Arial"/>
          <w:i/>
          <w:iCs/>
          <w:color w:val="0E101A"/>
          <w:sz w:val="24"/>
          <w:szCs w:val="24"/>
        </w:rPr>
        <w:t>Transnational Corporations Review</w:t>
      </w:r>
      <w:r w:rsidRPr="00227727">
        <w:rPr>
          <w:rFonts w:ascii="Arial" w:eastAsia="Times New Roman" w:hAnsi="Arial" w:cs="Arial"/>
          <w:color w:val="0E101A"/>
          <w:sz w:val="24"/>
          <w:szCs w:val="24"/>
        </w:rPr>
        <w:t>. https://doi.org/10.1080/19186444.2021.1956854.</w:t>
      </w:r>
    </w:p>
    <w:p w14:paraId="223EDAD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Alnoor, A., Abdullah, H. O., &amp; AL-Abrrow, H. (2022). A fuzzy Delphi analytic job demands-resources model to rank factors influencing open innovation. </w:t>
      </w:r>
      <w:r w:rsidRPr="00227727">
        <w:rPr>
          <w:rStyle w:val="Emphasis"/>
          <w:rFonts w:ascii="Arial" w:hAnsi="Arial" w:cs="Arial"/>
          <w:sz w:val="24"/>
          <w:szCs w:val="24"/>
        </w:rPr>
        <w:t>Transnational Corporations Review, 14</w:t>
      </w:r>
      <w:r w:rsidRPr="00227727">
        <w:rPr>
          <w:rFonts w:ascii="Arial" w:hAnsi="Arial" w:cs="Arial"/>
          <w:sz w:val="24"/>
          <w:szCs w:val="24"/>
        </w:rPr>
        <w:t xml:space="preserve">(2), 166–181. </w:t>
      </w:r>
      <w:hyperlink r:id="rId14" w:tgtFrame="_new" w:history="1">
        <w:r w:rsidRPr="00227727">
          <w:rPr>
            <w:rStyle w:val="Hyperlink"/>
            <w:rFonts w:ascii="Arial" w:hAnsi="Arial" w:cs="Arial"/>
            <w:sz w:val="24"/>
            <w:szCs w:val="24"/>
          </w:rPr>
          <w:t>https://doi.org/10.1080/19186444.2022.2039048</w:t>
        </w:r>
      </w:hyperlink>
    </w:p>
    <w:p w14:paraId="605E8D5F"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Andrews, F. M., &amp; Withey, S. B. (2012). </w:t>
      </w:r>
      <w:r w:rsidRPr="00227727">
        <w:rPr>
          <w:rFonts w:ascii="Arial" w:hAnsi="Arial" w:cs="Arial"/>
          <w:i/>
          <w:iCs/>
          <w:color w:val="000000" w:themeColor="text1"/>
          <w:sz w:val="24"/>
          <w:szCs w:val="24"/>
        </w:rPr>
        <w:t>Social indicators of well-being: Americans' perceptions of life quality.</w:t>
      </w:r>
      <w:r w:rsidRPr="00227727">
        <w:rPr>
          <w:rFonts w:ascii="Arial" w:hAnsi="Arial" w:cs="Arial"/>
          <w:color w:val="000000" w:themeColor="text1"/>
          <w:sz w:val="24"/>
          <w:szCs w:val="24"/>
        </w:rPr>
        <w:t xml:space="preserve"> Springer Science &amp; Business Media.</w:t>
      </w:r>
    </w:p>
    <w:p w14:paraId="26626DD9"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Angelici, M. and Profeta, P., 2020. Smart-working: work flexibility without constraints.</w:t>
      </w:r>
    </w:p>
    <w:p w14:paraId="291CECB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Angelici, M., &amp; Profeta, P. (2024). Smart working: work flexibility without constraints. </w:t>
      </w:r>
      <w:r w:rsidRPr="00227727">
        <w:rPr>
          <w:rFonts w:ascii="Arial" w:hAnsi="Arial" w:cs="Arial"/>
          <w:i/>
          <w:iCs/>
          <w:sz w:val="24"/>
          <w:szCs w:val="24"/>
        </w:rPr>
        <w:t>Management Science</w:t>
      </w:r>
      <w:r w:rsidRPr="00227727">
        <w:rPr>
          <w:rFonts w:ascii="Arial" w:hAnsi="Arial" w:cs="Arial"/>
          <w:sz w:val="24"/>
          <w:szCs w:val="24"/>
        </w:rPr>
        <w:t>, </w:t>
      </w:r>
      <w:r w:rsidRPr="00227727">
        <w:rPr>
          <w:rFonts w:ascii="Arial" w:hAnsi="Arial" w:cs="Arial"/>
          <w:i/>
          <w:iCs/>
          <w:sz w:val="24"/>
          <w:szCs w:val="24"/>
        </w:rPr>
        <w:t>70</w:t>
      </w:r>
      <w:r w:rsidRPr="00227727">
        <w:rPr>
          <w:rFonts w:ascii="Arial" w:hAnsi="Arial" w:cs="Arial"/>
          <w:sz w:val="24"/>
          <w:szCs w:val="24"/>
        </w:rPr>
        <w:t>(3), 1680-1705.</w:t>
      </w:r>
    </w:p>
    <w:p w14:paraId="55B2A609"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Anka, A., Thacker, H. and Penhale, B., 2020. Safeguarding adults practice and remote working in the COVID-19 era: challenges and opportunities. The Journal of Adult Protection.</w:t>
      </w:r>
    </w:p>
    <w:p w14:paraId="41989AE2"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Ansari, S. (2015). </w:t>
      </w:r>
      <w:r w:rsidRPr="00227727">
        <w:rPr>
          <w:rStyle w:val="Emphasis"/>
          <w:rFonts w:ascii="Arial" w:eastAsiaTheme="majorEastAsia" w:hAnsi="Arial" w:cs="Arial"/>
          <w:lang w:val="en-GB"/>
        </w:rPr>
        <w:t>Researching Sindhi and Urdu students’ reading habits and reading performance in a Pakistani university context</w:t>
      </w:r>
      <w:r w:rsidRPr="00227727">
        <w:rPr>
          <w:rFonts w:ascii="Arial" w:hAnsi="Arial" w:cs="Arial"/>
          <w:lang w:val="en-GB"/>
        </w:rPr>
        <w:t xml:space="preserve"> (Ph.D. thesis). University of Bedfordshire, UK.</w:t>
      </w:r>
    </w:p>
    <w:p w14:paraId="167AB45C"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Ansari, S., Panhwar, A. H., &amp; Mahesar, G. A. (2016). Mixed methods research: Ontological, epistemological and methodological underpinnings. </w:t>
      </w:r>
      <w:r w:rsidRPr="00227727">
        <w:rPr>
          <w:rStyle w:val="Emphasis"/>
          <w:rFonts w:ascii="Arial" w:eastAsiaTheme="majorEastAsia" w:hAnsi="Arial" w:cs="Arial"/>
          <w:lang w:val="en-GB"/>
        </w:rPr>
        <w:t>An International Research Journal of Language and Literature, 27</w:t>
      </w:r>
      <w:r w:rsidRPr="00227727">
        <w:rPr>
          <w:rFonts w:ascii="Arial" w:hAnsi="Arial" w:cs="Arial"/>
          <w:lang w:val="en-GB"/>
        </w:rPr>
        <w:t>.</w:t>
      </w:r>
    </w:p>
    <w:p w14:paraId="7C65E23E"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Austin-Egole, I.S., Iheriohanma, E.B.J. and Nwokorie, C., 2020. Flexible working arrangements and organizational performance: An overview. IOSR Journal of Humanities and Social Science (IOSR-JHSS), 25(5), pp.50-59.</w:t>
      </w:r>
    </w:p>
    <w:p w14:paraId="6BA566E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Ayling, L., McCartney, C., 2020. Flexible Working Practices. Retrieved from CIPD, on 13th August, 2021, from: https://www.cipd.co.uk/knowledge/fundamentals/relations/flexible-working/factsheet#gref</w:t>
      </w:r>
    </w:p>
    <w:p w14:paraId="4369617E"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Babakus, E., &amp; Boller, G. W. (1992). An empirical assessment of the Servqual scale. </w:t>
      </w:r>
      <w:r w:rsidRPr="00227727">
        <w:rPr>
          <w:rStyle w:val="Emphasis"/>
          <w:rFonts w:ascii="Arial" w:hAnsi="Arial" w:cs="Arial"/>
          <w:sz w:val="24"/>
          <w:szCs w:val="24"/>
        </w:rPr>
        <w:t>Journal of Business Research, 24</w:t>
      </w:r>
      <w:r w:rsidRPr="00227727">
        <w:rPr>
          <w:rFonts w:ascii="Arial" w:hAnsi="Arial" w:cs="Arial"/>
          <w:sz w:val="24"/>
          <w:szCs w:val="24"/>
        </w:rPr>
        <w:t xml:space="preserve">(3), 253–268. </w:t>
      </w:r>
      <w:hyperlink r:id="rId15" w:history="1">
        <w:r w:rsidRPr="00227727">
          <w:rPr>
            <w:rStyle w:val="Hyperlink"/>
            <w:rFonts w:ascii="Arial" w:hAnsi="Arial" w:cs="Arial"/>
            <w:sz w:val="24"/>
            <w:szCs w:val="24"/>
          </w:rPr>
          <w:t>https://doi.org/10.1016/0148-2963(92)90022-4</w:t>
        </w:r>
      </w:hyperlink>
      <w:r w:rsidRPr="00227727">
        <w:rPr>
          <w:rFonts w:ascii="Arial" w:hAnsi="Arial" w:cs="Arial"/>
          <w:sz w:val="24"/>
          <w:szCs w:val="24"/>
        </w:rPr>
        <w:t>.</w:t>
      </w:r>
    </w:p>
    <w:p w14:paraId="3CCDF3D1"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lastRenderedPageBreak/>
        <w:t xml:space="preserve">Bakker, A. B., &amp; de Vries, J. D. (2021). Job Demands–Resources theory and self-regulation: New explanations and remedies for job burnout. </w:t>
      </w:r>
      <w:r w:rsidRPr="00227727">
        <w:rPr>
          <w:rFonts w:ascii="Arial" w:hAnsi="Arial" w:cs="Arial"/>
          <w:i/>
          <w:iCs/>
          <w:sz w:val="24"/>
          <w:szCs w:val="24"/>
        </w:rPr>
        <w:t>Anxiety, Stress, &amp; Coping, 34</w:t>
      </w:r>
      <w:r w:rsidRPr="00227727">
        <w:rPr>
          <w:rFonts w:ascii="Arial" w:hAnsi="Arial" w:cs="Arial"/>
          <w:sz w:val="24"/>
          <w:szCs w:val="24"/>
        </w:rPr>
        <w:t>(1), 1–21.</w:t>
      </w:r>
    </w:p>
    <w:p w14:paraId="440F78F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Bakker, A. B., &amp; Demerouti, E. (2017). Job demands–resources theory: Taking stock and looking forward. </w:t>
      </w:r>
      <w:r w:rsidRPr="00227727">
        <w:rPr>
          <w:rFonts w:ascii="Arial" w:hAnsi="Arial" w:cs="Arial"/>
          <w:i/>
          <w:iCs/>
          <w:sz w:val="24"/>
          <w:szCs w:val="24"/>
        </w:rPr>
        <w:t>Journal of Occupational Health Psychology, 22</w:t>
      </w:r>
      <w:r w:rsidRPr="00227727">
        <w:rPr>
          <w:rFonts w:ascii="Arial" w:hAnsi="Arial" w:cs="Arial"/>
          <w:sz w:val="24"/>
          <w:szCs w:val="24"/>
        </w:rPr>
        <w:t>(3), 273–285. https://doi.org/10.1037/ocp0000056</w:t>
      </w:r>
    </w:p>
    <w:p w14:paraId="20A13025"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Barbieri, B., Balia, S., Sulis, I., Cois, E., Cabras, C., Atzara, S., &amp; De Simone, S. (2021). Don’t call it smart: Working from home during the pandemic crisis. </w:t>
      </w:r>
      <w:r w:rsidRPr="00227727">
        <w:rPr>
          <w:rFonts w:ascii="Arial" w:hAnsi="Arial" w:cs="Arial"/>
          <w:i/>
          <w:iCs/>
          <w:sz w:val="24"/>
          <w:szCs w:val="24"/>
        </w:rPr>
        <w:t>Frontiers in psychology</w:t>
      </w:r>
      <w:r w:rsidRPr="00227727">
        <w:rPr>
          <w:rFonts w:ascii="Arial" w:hAnsi="Arial" w:cs="Arial"/>
          <w:sz w:val="24"/>
          <w:szCs w:val="24"/>
        </w:rPr>
        <w:t>, </w:t>
      </w:r>
      <w:r w:rsidRPr="00227727">
        <w:rPr>
          <w:rFonts w:ascii="Arial" w:hAnsi="Arial" w:cs="Arial"/>
          <w:i/>
          <w:iCs/>
          <w:sz w:val="24"/>
          <w:szCs w:val="24"/>
        </w:rPr>
        <w:t>12</w:t>
      </w:r>
      <w:r w:rsidRPr="00227727">
        <w:rPr>
          <w:rFonts w:ascii="Arial" w:hAnsi="Arial" w:cs="Arial"/>
          <w:sz w:val="24"/>
          <w:szCs w:val="24"/>
        </w:rPr>
        <w:t>, 741585.</w:t>
      </w:r>
    </w:p>
    <w:p w14:paraId="62C0B1B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Barbieri, B., Mondo, M., De Simone, S., Pinna, R., Galletta, M., Pileri, J., &amp; Bellini, D. (2024). Enhancing Productivity at Home: The Role of Smart Work and Organizational Support in the Public Sector. </w:t>
      </w:r>
      <w:r w:rsidRPr="00227727">
        <w:rPr>
          <w:rFonts w:ascii="Arial" w:hAnsi="Arial" w:cs="Arial"/>
          <w:i/>
          <w:iCs/>
          <w:sz w:val="24"/>
          <w:szCs w:val="24"/>
        </w:rPr>
        <w:t>Societies</w:t>
      </w:r>
      <w:r w:rsidRPr="00227727">
        <w:rPr>
          <w:rFonts w:ascii="Arial" w:hAnsi="Arial" w:cs="Arial"/>
          <w:sz w:val="24"/>
          <w:szCs w:val="24"/>
        </w:rPr>
        <w:t>, </w:t>
      </w:r>
      <w:r w:rsidRPr="00227727">
        <w:rPr>
          <w:rFonts w:ascii="Arial" w:hAnsi="Arial" w:cs="Arial"/>
          <w:i/>
          <w:iCs/>
          <w:sz w:val="24"/>
          <w:szCs w:val="24"/>
        </w:rPr>
        <w:t>14</w:t>
      </w:r>
      <w:r w:rsidRPr="00227727">
        <w:rPr>
          <w:rFonts w:ascii="Arial" w:hAnsi="Arial" w:cs="Arial"/>
          <w:sz w:val="24"/>
          <w:szCs w:val="24"/>
        </w:rPr>
        <w:t>(4), 50.</w:t>
      </w:r>
    </w:p>
    <w:p w14:paraId="156D9A43"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 xml:space="preserve">Baron, R. M., &amp; Kenny, D. A. (1986). The moderator–mediator variable distinction in social psychological research: Conceptual, strategic, and statistical considerations. Journal of Personality and Social Psychology, 51(6), 1173–1182. </w:t>
      </w:r>
      <w:hyperlink r:id="rId16" w:history="1">
        <w:r w:rsidRPr="00227727">
          <w:rPr>
            <w:rStyle w:val="Hyperlink"/>
            <w:rFonts w:ascii="Arial" w:hAnsi="Arial" w:cs="Arial"/>
            <w:sz w:val="24"/>
            <w:szCs w:val="24"/>
          </w:rPr>
          <w:t>https://doi.org/10.1037/0022-3514.51.6.1173</w:t>
        </w:r>
      </w:hyperlink>
    </w:p>
    <w:p w14:paraId="28C3B058"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Bentler, P. M., &amp; Bonett, D. G. (1980). Significance tests and goodness of fit in the analysis of covariance structures. Psychological Bulletin, 88(3), 588–606. https://doi.org/10.1037/0033-2909.88.3.588</w:t>
      </w:r>
    </w:p>
    <w:p w14:paraId="7650D5B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Bentler, P. M., &amp; Chou, C. P. (1987). Practical issues in structural modeling. </w:t>
      </w:r>
      <w:r w:rsidRPr="00227727">
        <w:rPr>
          <w:rStyle w:val="Emphasis"/>
          <w:rFonts w:ascii="Arial" w:hAnsi="Arial" w:cs="Arial"/>
          <w:sz w:val="24"/>
          <w:szCs w:val="24"/>
        </w:rPr>
        <w:t>Sociological Methods &amp; Research, 16</w:t>
      </w:r>
      <w:r w:rsidRPr="00227727">
        <w:rPr>
          <w:rFonts w:ascii="Arial" w:hAnsi="Arial" w:cs="Arial"/>
          <w:sz w:val="24"/>
          <w:szCs w:val="24"/>
        </w:rPr>
        <w:t xml:space="preserve">(1), 78–117. </w:t>
      </w:r>
      <w:hyperlink r:id="rId17" w:tgtFrame="_new" w:history="1">
        <w:r w:rsidRPr="00227727">
          <w:rPr>
            <w:rStyle w:val="Hyperlink"/>
            <w:rFonts w:ascii="Arial" w:hAnsi="Arial" w:cs="Arial"/>
            <w:sz w:val="24"/>
            <w:szCs w:val="24"/>
          </w:rPr>
          <w:t>https://doi.org/10.1177/0049124187016001004</w:t>
        </w:r>
      </w:hyperlink>
    </w:p>
    <w:p w14:paraId="1622CA3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Berger, R., Czakert, J. P., Leuteritz, J. P., &amp; Leiva, D. (2019). How and when do leaders influence employees' well-being? Moderated mediation models for job demands and resources. </w:t>
      </w:r>
      <w:r w:rsidRPr="00227727">
        <w:rPr>
          <w:rFonts w:ascii="Arial" w:hAnsi="Arial" w:cs="Arial"/>
          <w:i/>
          <w:iCs/>
          <w:sz w:val="24"/>
          <w:szCs w:val="24"/>
        </w:rPr>
        <w:t>Frontiers in Psychology, 10</w:t>
      </w:r>
      <w:r w:rsidRPr="00227727">
        <w:rPr>
          <w:rFonts w:ascii="Arial" w:hAnsi="Arial" w:cs="Arial"/>
          <w:sz w:val="24"/>
          <w:szCs w:val="24"/>
        </w:rPr>
        <w:t>, 2788.</w:t>
      </w:r>
    </w:p>
    <w:p w14:paraId="4FB4241A"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Berryman, D. R. (2019). Ontology, epistemology, methodology, and methods: Information for librarian researchers. </w:t>
      </w:r>
      <w:r w:rsidRPr="00227727">
        <w:rPr>
          <w:rStyle w:val="Emphasis"/>
          <w:rFonts w:ascii="Arial" w:eastAsiaTheme="majorEastAsia" w:hAnsi="Arial" w:cs="Arial"/>
          <w:lang w:val="en-GB"/>
        </w:rPr>
        <w:t>Medical Reference Services Quarterly, 38</w:t>
      </w:r>
      <w:r w:rsidRPr="00227727">
        <w:rPr>
          <w:rFonts w:ascii="Arial" w:hAnsi="Arial" w:cs="Arial"/>
          <w:lang w:val="en-GB"/>
        </w:rPr>
        <w:t>(3), 271–279. https://doi.org/10.1080/02763869.2019.1623615</w:t>
      </w:r>
    </w:p>
    <w:p w14:paraId="4CD9D2E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Bharathi, S. S., &amp; Sujatha, S. J. Q. A. J. (2024). Healthcare Employee Well-Being and Work-Related Stress Factors: Evaluating the Mediating Influence of Perceived Organisational Support. </w:t>
      </w:r>
      <w:r w:rsidRPr="00227727">
        <w:rPr>
          <w:rFonts w:ascii="Arial" w:hAnsi="Arial" w:cs="Arial"/>
          <w:i/>
          <w:iCs/>
          <w:sz w:val="24"/>
          <w:szCs w:val="24"/>
        </w:rPr>
        <w:t>Qubahan Academic Journal</w:t>
      </w:r>
      <w:r w:rsidRPr="00227727">
        <w:rPr>
          <w:rFonts w:ascii="Arial" w:hAnsi="Arial" w:cs="Arial"/>
          <w:sz w:val="24"/>
          <w:szCs w:val="24"/>
        </w:rPr>
        <w:t>, </w:t>
      </w:r>
      <w:r w:rsidRPr="00227727">
        <w:rPr>
          <w:rFonts w:ascii="Arial" w:hAnsi="Arial" w:cs="Arial"/>
          <w:i/>
          <w:iCs/>
          <w:sz w:val="24"/>
          <w:szCs w:val="24"/>
        </w:rPr>
        <w:t>4</w:t>
      </w:r>
      <w:r w:rsidRPr="00227727">
        <w:rPr>
          <w:rFonts w:ascii="Arial" w:hAnsi="Arial" w:cs="Arial"/>
          <w:sz w:val="24"/>
          <w:szCs w:val="24"/>
        </w:rPr>
        <w:t>(3), 209-225.</w:t>
      </w:r>
    </w:p>
    <w:p w14:paraId="5B7D09D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Bharathi, S. S., &amp; Sujatha, S. J. Q. A. J. (2024). Healthcare Employee Well-Being and Work-Related Stress Factors: Evaluating the Mediating Influence of Perceived Organisational Support. </w:t>
      </w:r>
      <w:r w:rsidRPr="00227727">
        <w:rPr>
          <w:rFonts w:ascii="Arial" w:hAnsi="Arial" w:cs="Arial"/>
          <w:i/>
          <w:iCs/>
          <w:sz w:val="24"/>
          <w:szCs w:val="24"/>
        </w:rPr>
        <w:t>Qubahan Academic Journal</w:t>
      </w:r>
      <w:r w:rsidRPr="00227727">
        <w:rPr>
          <w:rFonts w:ascii="Arial" w:hAnsi="Arial" w:cs="Arial"/>
          <w:sz w:val="24"/>
          <w:szCs w:val="24"/>
        </w:rPr>
        <w:t>, </w:t>
      </w:r>
      <w:r w:rsidRPr="00227727">
        <w:rPr>
          <w:rFonts w:ascii="Arial" w:hAnsi="Arial" w:cs="Arial"/>
          <w:i/>
          <w:iCs/>
          <w:sz w:val="24"/>
          <w:szCs w:val="24"/>
        </w:rPr>
        <w:t>4</w:t>
      </w:r>
      <w:r w:rsidRPr="00227727">
        <w:rPr>
          <w:rFonts w:ascii="Arial" w:hAnsi="Arial" w:cs="Arial"/>
          <w:sz w:val="24"/>
          <w:szCs w:val="24"/>
        </w:rPr>
        <w:t>(3), 209-225.</w:t>
      </w:r>
    </w:p>
    <w:p w14:paraId="66EF44B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Bhatt, K. P. (2020). A synopsis on population and sample: Quantitative research. </w:t>
      </w:r>
      <w:r w:rsidRPr="00227727">
        <w:rPr>
          <w:rStyle w:val="Emphasis"/>
          <w:rFonts w:ascii="Arial" w:hAnsi="Arial" w:cs="Arial"/>
          <w:sz w:val="24"/>
          <w:szCs w:val="24"/>
        </w:rPr>
        <w:t>Research Design and Sampling Strategy,</w:t>
      </w:r>
      <w:r w:rsidRPr="00227727">
        <w:rPr>
          <w:rFonts w:ascii="Arial" w:hAnsi="Arial" w:cs="Arial"/>
          <w:sz w:val="24"/>
          <w:szCs w:val="24"/>
        </w:rPr>
        <w:t xml:space="preserve"> 1–7.</w:t>
      </w:r>
    </w:p>
    <w:p w14:paraId="042CD30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Blaikie, N. (2000) Designing social research, Cambridge: Polity Press.</w:t>
      </w:r>
    </w:p>
    <w:p w14:paraId="46A7F773"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Blechman, E. A., Tóth-Király, I., Nadon, L., Fernet, C., &amp; Morin, A. J. S. (2022). On the global and specific nature of psychological need satisfaction and work motivation in predicting employees’ wellbeing: A self-determination theory perspective. </w:t>
      </w:r>
      <w:r w:rsidRPr="00227727">
        <w:rPr>
          <w:rFonts w:ascii="Arial" w:hAnsi="Arial" w:cs="Arial"/>
          <w:i/>
          <w:iCs/>
          <w:sz w:val="24"/>
          <w:szCs w:val="24"/>
        </w:rPr>
        <w:t>Journal of Management &amp; Organization</w:t>
      </w:r>
      <w:r w:rsidRPr="00227727">
        <w:rPr>
          <w:rFonts w:ascii="Arial" w:hAnsi="Arial" w:cs="Arial"/>
          <w:sz w:val="24"/>
          <w:szCs w:val="24"/>
        </w:rPr>
        <w:t>. https://doi.org/10.1017/jmo.2022.76</w:t>
      </w:r>
    </w:p>
    <w:p w14:paraId="34CCDD0E"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lastRenderedPageBreak/>
        <w:t xml:space="preserve">Bohan, R. (2022). </w:t>
      </w:r>
      <w:r w:rsidRPr="00227727">
        <w:rPr>
          <w:rStyle w:val="Emphasis"/>
          <w:rFonts w:ascii="Arial" w:eastAsiaTheme="majorEastAsia" w:hAnsi="Arial" w:cs="Arial"/>
          <w:lang w:val="en-GB"/>
        </w:rPr>
        <w:t>A multiple regression analysis of the impact organisation size, frequency of remote work, and personality have on the well-being of remote workers based in Ireland.</w:t>
      </w:r>
      <w:r w:rsidRPr="00227727">
        <w:rPr>
          <w:rFonts w:ascii="Arial" w:hAnsi="Arial" w:cs="Arial"/>
          <w:lang w:val="en-GB"/>
        </w:rPr>
        <w:t xml:space="preserve"> National College of Ireland.</w:t>
      </w:r>
    </w:p>
    <w:p w14:paraId="3249399A"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Bonacci, I., Scarozza, D., &amp; Greco, E. (2024). The Innovative Implications of Smart Working in a Post-pandemic Era: A Model of Smart Working Satisfaction in Public Sector Organizations. </w:t>
      </w:r>
      <w:r w:rsidRPr="00227727">
        <w:rPr>
          <w:rFonts w:ascii="Arial" w:hAnsi="Arial" w:cs="Arial"/>
          <w:i/>
          <w:iCs/>
          <w:sz w:val="24"/>
          <w:szCs w:val="24"/>
        </w:rPr>
        <w:t>Administration &amp; Society</w:t>
      </w:r>
      <w:r w:rsidRPr="00227727">
        <w:rPr>
          <w:rFonts w:ascii="Arial" w:hAnsi="Arial" w:cs="Arial"/>
          <w:sz w:val="24"/>
          <w:szCs w:val="24"/>
        </w:rPr>
        <w:t>, </w:t>
      </w:r>
      <w:r w:rsidRPr="00227727">
        <w:rPr>
          <w:rFonts w:ascii="Arial" w:hAnsi="Arial" w:cs="Arial"/>
          <w:i/>
          <w:iCs/>
          <w:sz w:val="24"/>
          <w:szCs w:val="24"/>
        </w:rPr>
        <w:t>56</w:t>
      </w:r>
      <w:r w:rsidRPr="00227727">
        <w:rPr>
          <w:rFonts w:ascii="Arial" w:hAnsi="Arial" w:cs="Arial"/>
          <w:sz w:val="24"/>
          <w:szCs w:val="24"/>
        </w:rPr>
        <w:t>(8), 911-940.</w:t>
      </w:r>
    </w:p>
    <w:p w14:paraId="3E33A8C7"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Boone, H. N., &amp; Boone, D. A. (2012). Analyzing Likert data. </w:t>
      </w:r>
      <w:r w:rsidRPr="00227727">
        <w:rPr>
          <w:rStyle w:val="Emphasis"/>
          <w:rFonts w:ascii="Arial" w:hAnsi="Arial" w:cs="Arial"/>
          <w:sz w:val="24"/>
          <w:szCs w:val="24"/>
        </w:rPr>
        <w:t>Journal of Extension, 50</w:t>
      </w:r>
      <w:r w:rsidRPr="00227727">
        <w:rPr>
          <w:rFonts w:ascii="Arial" w:hAnsi="Arial" w:cs="Arial"/>
          <w:sz w:val="24"/>
          <w:szCs w:val="24"/>
        </w:rPr>
        <w:t>(2), 1–5.</w:t>
      </w:r>
    </w:p>
    <w:p w14:paraId="5EDEC05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Bowe, B., Xie, Y., &amp; Al-Aly, Z. (2019). Burdens of air pollution and their impact on cardiovascular disease. </w:t>
      </w:r>
      <w:r w:rsidRPr="00227727">
        <w:rPr>
          <w:rStyle w:val="Emphasis"/>
          <w:rFonts w:ascii="Arial" w:hAnsi="Arial" w:cs="Arial"/>
          <w:color w:val="0E101A"/>
          <w:sz w:val="24"/>
          <w:szCs w:val="24"/>
        </w:rPr>
        <w:t>Environmental Health, 18</w:t>
      </w:r>
      <w:r w:rsidRPr="00227727">
        <w:rPr>
          <w:rFonts w:ascii="Arial" w:hAnsi="Arial" w:cs="Arial"/>
          <w:sz w:val="24"/>
          <w:szCs w:val="24"/>
        </w:rPr>
        <w:t xml:space="preserve">(1), 1-9. </w:t>
      </w:r>
      <w:hyperlink r:id="rId18" w:tgtFrame="_blank" w:history="1">
        <w:r w:rsidRPr="00227727">
          <w:rPr>
            <w:rStyle w:val="Hyperlink"/>
            <w:rFonts w:ascii="Arial" w:hAnsi="Arial" w:cs="Arial"/>
            <w:color w:val="4A6EE0"/>
            <w:sz w:val="24"/>
            <w:szCs w:val="24"/>
          </w:rPr>
          <w:t>https://doi.org/10.1186/s12940-018-0427-5</w:t>
        </w:r>
      </w:hyperlink>
    </w:p>
    <w:p w14:paraId="2285D8F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Bowe, B., Xie, Y., Li, T., Yan, Y., Xian, H., &amp; Al-Aly, Z. (2021). Changes in the 1-Year Burden of Cardiovascular Disease and Mortality Associated With COVID-19 in the United States. </w:t>
      </w:r>
      <w:r w:rsidRPr="00227727">
        <w:rPr>
          <w:rStyle w:val="Emphasis"/>
          <w:rFonts w:ascii="Arial" w:hAnsi="Arial" w:cs="Arial"/>
          <w:color w:val="0E101A"/>
          <w:sz w:val="24"/>
          <w:szCs w:val="24"/>
        </w:rPr>
        <w:t>PLOS Medicine, 18</w:t>
      </w:r>
      <w:r w:rsidRPr="00227727">
        <w:rPr>
          <w:rFonts w:ascii="Arial" w:hAnsi="Arial" w:cs="Arial"/>
          <w:sz w:val="24"/>
          <w:szCs w:val="24"/>
        </w:rPr>
        <w:t xml:space="preserve">(9), e1003695. </w:t>
      </w:r>
      <w:hyperlink r:id="rId19" w:tgtFrame="_blank" w:history="1">
        <w:r w:rsidRPr="00227727">
          <w:rPr>
            <w:rStyle w:val="Hyperlink"/>
            <w:rFonts w:ascii="Arial" w:hAnsi="Arial" w:cs="Arial"/>
            <w:color w:val="4A6EE0"/>
            <w:sz w:val="24"/>
            <w:szCs w:val="24"/>
          </w:rPr>
          <w:t>https://doi.org/10.1371/journal.pmed.1003695</w:t>
        </w:r>
      </w:hyperlink>
    </w:p>
    <w:p w14:paraId="03E081C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Bowleg, L., English, D., del Rio-Gonzalez, A. M., Burkholder, G. J., Teti, M., &amp; Tschann, J. M. (2016). Measuring the pros and cons of what it means to be a Black man: Development and validation of the Black Men’s Experiences Scale (BMES). </w:t>
      </w:r>
      <w:r w:rsidRPr="00227727">
        <w:rPr>
          <w:rStyle w:val="Emphasis"/>
          <w:rFonts w:ascii="Arial" w:hAnsi="Arial" w:cs="Arial"/>
          <w:sz w:val="24"/>
          <w:szCs w:val="24"/>
        </w:rPr>
        <w:t>Psychology of Men and Masculinity</w:t>
      </w:r>
      <w:r w:rsidRPr="00227727">
        <w:rPr>
          <w:rFonts w:ascii="Arial" w:hAnsi="Arial" w:cs="Arial"/>
          <w:sz w:val="24"/>
          <w:szCs w:val="24"/>
        </w:rPr>
        <w:t>. https://doi.org/10.1037/men0000026</w:t>
      </w:r>
    </w:p>
    <w:p w14:paraId="56DE6150"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Brauchli, R., Schaufeli, W.B., Jenny, G.J., Füllemann, D. and Bauer, G.F. (2013), “Disentangling stability and change in job resources, job demands, and employee well-being — a threewave study on the Job-Demands Resources model”, Journal of Vocational Behavior, Vol. 83 No. 2, pp. 117–129.</w:t>
      </w:r>
    </w:p>
    <w:p w14:paraId="2C482D9A"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Brenner, C. A. (2022). </w:t>
      </w:r>
      <w:r w:rsidRPr="00227727">
        <w:rPr>
          <w:rFonts w:ascii="Arial" w:eastAsia="Times New Roman" w:hAnsi="Arial" w:cs="Arial"/>
          <w:i/>
          <w:iCs/>
          <w:color w:val="0E101A"/>
          <w:sz w:val="24"/>
          <w:szCs w:val="24"/>
        </w:rPr>
        <w:t>Self-Determination Theory and Competency-Based Teaching Practices</w:t>
      </w:r>
      <w:r w:rsidRPr="00227727">
        <w:rPr>
          <w:rFonts w:ascii="Arial" w:eastAsia="Times New Roman" w:hAnsi="Arial" w:cs="Arial"/>
          <w:color w:val="0E101A"/>
          <w:sz w:val="24"/>
          <w:szCs w:val="24"/>
        </w:rPr>
        <w:t>. Smart Learning Environments, 9, 3. https://doi.org/10.1186/s40561-021-00184-5.</w:t>
      </w:r>
    </w:p>
    <w:p w14:paraId="680A4A3B"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Brown, P. (2017). Narrative: An ontology, epistemology and methodology for pro-environmental psychology research. </w:t>
      </w:r>
      <w:r w:rsidRPr="00227727">
        <w:rPr>
          <w:rStyle w:val="Emphasis"/>
          <w:rFonts w:ascii="Arial" w:eastAsiaTheme="majorEastAsia" w:hAnsi="Arial" w:cs="Arial"/>
          <w:lang w:val="en-GB"/>
        </w:rPr>
        <w:t>Energy Research &amp; Social Science, 31</w:t>
      </w:r>
      <w:r w:rsidRPr="00227727">
        <w:rPr>
          <w:rFonts w:ascii="Arial" w:hAnsi="Arial" w:cs="Arial"/>
          <w:lang w:val="en-GB"/>
        </w:rPr>
        <w:t>, 215–222. https://doi.org/10.1016/j.erss.2017.05.017</w:t>
      </w:r>
    </w:p>
    <w:p w14:paraId="6DCE98BD"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Bryman, A. (2004). </w:t>
      </w:r>
      <w:r w:rsidRPr="00227727">
        <w:rPr>
          <w:rStyle w:val="Emphasis"/>
          <w:rFonts w:ascii="Arial" w:eastAsiaTheme="majorEastAsia" w:hAnsi="Arial" w:cs="Arial"/>
          <w:lang w:val="en-GB"/>
        </w:rPr>
        <w:t>Social research methods</w:t>
      </w:r>
      <w:r w:rsidRPr="00227727">
        <w:rPr>
          <w:rFonts w:ascii="Arial" w:hAnsi="Arial" w:cs="Arial"/>
          <w:lang w:val="en-GB"/>
        </w:rPr>
        <w:t xml:space="preserve"> (2nd ed.). Oxford University Press.</w:t>
      </w:r>
    </w:p>
    <w:p w14:paraId="29C68CAA"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Bryman, A. (2007). Barriers to integrating quantitative and qualitative research. </w:t>
      </w:r>
      <w:r w:rsidRPr="00227727">
        <w:rPr>
          <w:rStyle w:val="Emphasis"/>
          <w:rFonts w:ascii="Arial" w:eastAsiaTheme="majorEastAsia" w:hAnsi="Arial" w:cs="Arial"/>
          <w:lang w:val="en-GB"/>
        </w:rPr>
        <w:t>Journal of Mixed Methods Research, 1</w:t>
      </w:r>
      <w:r w:rsidRPr="00227727">
        <w:rPr>
          <w:rFonts w:ascii="Arial" w:hAnsi="Arial" w:cs="Arial"/>
          <w:lang w:val="en-GB"/>
        </w:rPr>
        <w:t>(1), 8–22. https://doi.org/10.1177/2345678906290531</w:t>
      </w:r>
    </w:p>
    <w:p w14:paraId="410F0EEE"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Bryman, A. (2012). Social Research Methods (4th ed.). Oxford University Press.</w:t>
      </w:r>
    </w:p>
    <w:p w14:paraId="79BC8AA3"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Bryman, A., &amp; Bell, E. (2011). </w:t>
      </w:r>
      <w:r w:rsidRPr="00227727">
        <w:rPr>
          <w:rStyle w:val="Emphasis"/>
          <w:rFonts w:ascii="Arial" w:eastAsiaTheme="majorEastAsia" w:hAnsi="Arial" w:cs="Arial"/>
          <w:lang w:val="en-GB"/>
        </w:rPr>
        <w:t>Business research methods</w:t>
      </w:r>
      <w:r w:rsidRPr="00227727">
        <w:rPr>
          <w:rFonts w:ascii="Arial" w:hAnsi="Arial" w:cs="Arial"/>
          <w:lang w:val="en-GB"/>
        </w:rPr>
        <w:t xml:space="preserve"> (3rd ed.). Oxford University Press.</w:t>
      </w:r>
    </w:p>
    <w:p w14:paraId="511F88AC"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Bryson, A. and White, M., 2021. High-performance work systems and the performance of public sector workplaces in Britain. Oxford Economic Papers,.</w:t>
      </w:r>
    </w:p>
    <w:p w14:paraId="41CB1942"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Bryson, A., Forth, J. &amp; Stokes, L. 2017, “Does employees’ subjective well-being affect workplace performance?”, Human relations (New York), vol. 70, no. 8, pp. 1017-1037.</w:t>
      </w:r>
    </w:p>
    <w:p w14:paraId="2794CC99"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Bryson, A., Forth, J. and Stokes, L., 2014. Does worker wellbeing affect workplace performance. Department of Business Innovation and Skills, London.</w:t>
      </w:r>
    </w:p>
    <w:p w14:paraId="1279D856"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lastRenderedPageBreak/>
        <w:t>Bucea-Manea-Țoniş, R., Prokop, V., Ilic, D., Gurgu, E., Bucea-Manea-Țoniş, R., Braicu, C. and Moanță, A., 2021. The relationship between eco-innovation and smart working as support for sustainable management. Sustainability, 13(3), p.1437.</w:t>
      </w:r>
    </w:p>
    <w:p w14:paraId="676D0B0B"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Buick, F., Blackman, D. A., Glennie, M., Weeratunga, V., &amp; O'Donnell, M. E. (2024). Different approaches to managerial support for flexible working: Implications for public sector employee well-being. </w:t>
      </w:r>
      <w:r w:rsidRPr="00227727">
        <w:rPr>
          <w:rStyle w:val="Emphasis"/>
          <w:rFonts w:ascii="Arial" w:eastAsiaTheme="majorEastAsia" w:hAnsi="Arial" w:cs="Arial"/>
          <w:lang w:val="en-GB"/>
        </w:rPr>
        <w:t>Public Personnel Management, 53</w:t>
      </w:r>
      <w:r w:rsidRPr="00227727">
        <w:rPr>
          <w:rFonts w:ascii="Arial" w:hAnsi="Arial" w:cs="Arial"/>
          <w:lang w:val="en-GB"/>
        </w:rPr>
        <w:t xml:space="preserve">(3), 377–405. </w:t>
      </w:r>
      <w:hyperlink r:id="rId20" w:tgtFrame="_new" w:history="1">
        <w:r w:rsidRPr="00227727">
          <w:rPr>
            <w:rStyle w:val="Hyperlink"/>
            <w:rFonts w:ascii="Arial" w:eastAsiaTheme="majorEastAsia" w:hAnsi="Arial" w:cs="Arial"/>
            <w:lang w:val="en-GB"/>
          </w:rPr>
          <w:t>https://doi.org/10.1177/00910260241226731</w:t>
        </w:r>
      </w:hyperlink>
    </w:p>
    <w:p w14:paraId="5D4DA0DA"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Burns, R.A. and Machin, M.A., 2013. Employee and workplace well-being: A multi-level analysis of teacher personality and organizational climate in Norwegian teachers from rural, urban and city schools. Scandinavian Journal of Educational Research, 57(3), pp.309-324.</w:t>
      </w:r>
    </w:p>
    <w:p w14:paraId="0620AEB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Camilleri, M. A. (2021). The Employees’ State of Mind during COVID-19: A Self-Determination Theory Perspective. </w:t>
      </w:r>
      <w:r w:rsidRPr="00227727">
        <w:rPr>
          <w:rFonts w:ascii="Arial" w:hAnsi="Arial" w:cs="Arial"/>
          <w:i/>
          <w:iCs/>
          <w:sz w:val="24"/>
          <w:szCs w:val="24"/>
        </w:rPr>
        <w:t>Sustainability, 13</w:t>
      </w:r>
      <w:r w:rsidRPr="00227727">
        <w:rPr>
          <w:rFonts w:ascii="Arial" w:hAnsi="Arial" w:cs="Arial"/>
          <w:sz w:val="24"/>
          <w:szCs w:val="24"/>
        </w:rPr>
        <w:t>(7), 3634.</w:t>
      </w:r>
    </w:p>
    <w:p w14:paraId="2EDAEB4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Chambers, J., Thompson, S., &amp; Liu, Y. (2020). Wearable devices and transport: Improving public health through better design. </w:t>
      </w:r>
      <w:r w:rsidRPr="00227727">
        <w:rPr>
          <w:rStyle w:val="Emphasis"/>
          <w:rFonts w:ascii="Arial" w:hAnsi="Arial" w:cs="Arial"/>
          <w:color w:val="0E101A"/>
          <w:sz w:val="24"/>
          <w:szCs w:val="24"/>
        </w:rPr>
        <w:t>Electronics, 9</w:t>
      </w:r>
      <w:r w:rsidRPr="00227727">
        <w:rPr>
          <w:rFonts w:ascii="Arial" w:hAnsi="Arial" w:cs="Arial"/>
          <w:sz w:val="24"/>
          <w:szCs w:val="24"/>
        </w:rPr>
        <w:t>(9), 1270. https://doi.org/10.3390/electronics9091270</w:t>
      </w:r>
    </w:p>
    <w:p w14:paraId="1F8021D7"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Chambers, J., Thompson, S., &amp; Liu, Y. (2020). Work-related challenges of COVID-19 on transportation infrastructure: A review. </w:t>
      </w:r>
      <w:r w:rsidRPr="00227727">
        <w:rPr>
          <w:rStyle w:val="Emphasis"/>
          <w:rFonts w:ascii="Arial" w:hAnsi="Arial" w:cs="Arial"/>
          <w:color w:val="0E101A"/>
          <w:sz w:val="24"/>
          <w:szCs w:val="24"/>
        </w:rPr>
        <w:t>Transportation Research Interdisciplinary Perspectives, 7</w:t>
      </w:r>
      <w:r w:rsidRPr="00227727">
        <w:rPr>
          <w:rFonts w:ascii="Arial" w:hAnsi="Arial" w:cs="Arial"/>
          <w:sz w:val="24"/>
          <w:szCs w:val="24"/>
        </w:rPr>
        <w:t>, 100185. https://doi.org/10.1016/j.trip.2020.100185</w:t>
      </w:r>
    </w:p>
    <w:p w14:paraId="119EE6F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Change, S., Cho, E. C., Mahmassani, H. S., &amp; Kim, J. (2021). COVID-19 impact on transportation networks: A systematic review. </w:t>
      </w:r>
      <w:r w:rsidRPr="00227727">
        <w:rPr>
          <w:rStyle w:val="Emphasis"/>
          <w:rFonts w:ascii="Arial" w:hAnsi="Arial" w:cs="Arial"/>
          <w:color w:val="0E101A"/>
          <w:sz w:val="24"/>
          <w:szCs w:val="24"/>
        </w:rPr>
        <w:t>Transportation Research Interdisciplinary Perspectives, 10</w:t>
      </w:r>
      <w:r w:rsidRPr="00227727">
        <w:rPr>
          <w:rFonts w:ascii="Arial" w:hAnsi="Arial" w:cs="Arial"/>
          <w:sz w:val="24"/>
          <w:szCs w:val="24"/>
        </w:rPr>
        <w:t>, 100380. https://doi.org/10.1016/j.trip.2021.100380</w:t>
      </w:r>
    </w:p>
    <w:p w14:paraId="180E30A6"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Charalampous, M., Grant, C. A., Tramontano, C., &amp; Michailidis, E. (2019). Systematically reviewing remote e-workers’ well-being at work: A multidimensional approach. </w:t>
      </w:r>
      <w:r w:rsidRPr="00227727">
        <w:rPr>
          <w:rFonts w:ascii="Arial" w:hAnsi="Arial" w:cs="Arial"/>
          <w:i/>
          <w:iCs/>
          <w:color w:val="000000" w:themeColor="text1"/>
          <w:sz w:val="24"/>
          <w:szCs w:val="24"/>
        </w:rPr>
        <w:t>European Journal of Work and Organizational Psychology</w:t>
      </w:r>
      <w:r w:rsidRPr="00227727">
        <w:rPr>
          <w:rFonts w:ascii="Arial" w:hAnsi="Arial" w:cs="Arial"/>
          <w:color w:val="000000" w:themeColor="text1"/>
          <w:sz w:val="24"/>
          <w:szCs w:val="24"/>
        </w:rPr>
        <w:t>, 51-73.</w:t>
      </w:r>
    </w:p>
    <w:p w14:paraId="736D114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Charalampous, M., Grant, C.A., Tramontano, C. and Michailidis, E., 2019. Systematically reviewing remote e-workers’ well-being at work: A multidimensional approach. European Journal of Work and Organizational Psychology, 28(1), pp.51-73.</w:t>
      </w:r>
    </w:p>
    <w:p w14:paraId="3A3C4A0D"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Cheese, P., 2020. 2 A flexible working future–the opportunities and challenges. Flexible Work: Designing our Healthier Future Lives.</w:t>
      </w:r>
    </w:p>
    <w:p w14:paraId="35F1A13A"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Chin, W. W. (1998). The partial least squares approach to structural equation modeling. Modern methods for business research, 295(2), 295-336.</w:t>
      </w:r>
    </w:p>
    <w:p w14:paraId="11C2F302"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Chong, J. X. Y., et al. (2024). </w:t>
      </w:r>
      <w:r w:rsidRPr="00227727">
        <w:rPr>
          <w:rFonts w:ascii="Arial" w:eastAsia="Times New Roman" w:hAnsi="Arial" w:cs="Arial"/>
          <w:i/>
          <w:iCs/>
          <w:color w:val="0E101A"/>
          <w:sz w:val="24"/>
          <w:szCs w:val="24"/>
        </w:rPr>
        <w:t>Facilitating Newcomer Motivation Through Internalization: An SDT Perspective on Newcomer Socialization</w:t>
      </w:r>
      <w:r w:rsidRPr="00227727">
        <w:rPr>
          <w:rFonts w:ascii="Arial" w:eastAsia="Times New Roman" w:hAnsi="Arial" w:cs="Arial"/>
          <w:color w:val="0E101A"/>
          <w:sz w:val="24"/>
          <w:szCs w:val="24"/>
        </w:rPr>
        <w:t>. Human Resource Management Review, 34, 101041. https://doi.org/10.1016/j.hrmr.2024.101041.</w:t>
      </w:r>
    </w:p>
    <w:p w14:paraId="7EF14B65"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Chuang, Y. T., Chiang, H. L., &amp; Lin, A. P. (2025). Insights from the Job Demands–Resources Model: AI’s dual impact on employees’ work and life well-being. </w:t>
      </w:r>
      <w:r w:rsidRPr="00227727">
        <w:rPr>
          <w:rFonts w:ascii="Arial" w:hAnsi="Arial" w:cs="Arial"/>
          <w:i/>
          <w:iCs/>
          <w:sz w:val="24"/>
          <w:szCs w:val="24"/>
        </w:rPr>
        <w:t>International Journal of Information Management, 83</w:t>
      </w:r>
      <w:r w:rsidRPr="00227727">
        <w:rPr>
          <w:rFonts w:ascii="Arial" w:hAnsi="Arial" w:cs="Arial"/>
          <w:sz w:val="24"/>
          <w:szCs w:val="24"/>
        </w:rPr>
        <w:t>, 102887.</w:t>
      </w:r>
    </w:p>
    <w:p w14:paraId="09E66053"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Chung, H., van der Lippe, T. 2020. Flexible Working, Work–Life Balance, and Gender Equality: Introduction. Soc Indic Res 151, 365–381 https://doi.org/10.1007/s11205-018-2025-x</w:t>
      </w:r>
    </w:p>
    <w:p w14:paraId="660A029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lastRenderedPageBreak/>
        <w:t>Chylinski, E. and Hu, R., 2018. Motivations and constraints of smart work in the public sector: Evidence from the Australian Capital Territory Government. Analysis &amp; Policy Observatory.</w:t>
      </w:r>
    </w:p>
    <w:p w14:paraId="2911CAF9"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Civil Service., 2020. Smarter Working. [online] gov.uk. Available at: &lt;https://www.gov.uk/government/publications/the-way-we-work-tw3-best-practice-guidelines-for-smarter-working&gt;</w:t>
      </w:r>
    </w:p>
    <w:p w14:paraId="2AA478D1"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Cohen, J., Cohen, P., West, S. G., &amp; Aiken, L. S. (2013). Applied multiple regression/correlation analysis for the behavioral sciences. Routledge.</w:t>
      </w:r>
    </w:p>
    <w:p w14:paraId="02BBB2E9"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Cohen, S., &amp; Williamson, G. (1988). </w:t>
      </w:r>
      <w:r w:rsidRPr="00227727">
        <w:rPr>
          <w:rFonts w:ascii="Arial" w:hAnsi="Arial" w:cs="Arial"/>
          <w:i/>
          <w:iCs/>
          <w:color w:val="000000" w:themeColor="text1"/>
          <w:sz w:val="24"/>
          <w:szCs w:val="24"/>
        </w:rPr>
        <w:t>Perceived Stress in a Probability Sample of the United States.</w:t>
      </w:r>
      <w:r w:rsidRPr="00227727">
        <w:rPr>
          <w:rFonts w:ascii="Arial" w:hAnsi="Arial" w:cs="Arial"/>
          <w:color w:val="000000" w:themeColor="text1"/>
          <w:sz w:val="24"/>
          <w:szCs w:val="24"/>
        </w:rPr>
        <w:t xml:space="preserve"> Newbury Park, CA: Sage.</w:t>
      </w:r>
    </w:p>
    <w:p w14:paraId="75CB44F8"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Collis, J. and Hussey, R. (2014). Business Research. 4th ed. New York: Palgrave Macmillan.</w:t>
      </w:r>
    </w:p>
    <w:p w14:paraId="1221E45F"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Collis, J., &amp; Hussey, R. (2003). </w:t>
      </w:r>
      <w:r w:rsidRPr="00227727">
        <w:rPr>
          <w:rStyle w:val="Emphasis"/>
          <w:rFonts w:ascii="Arial" w:eastAsiaTheme="majorEastAsia" w:hAnsi="Arial" w:cs="Arial"/>
          <w:lang w:val="en-GB"/>
        </w:rPr>
        <w:t>Business research: A practical guide for undergraduate and postgraduate students</w:t>
      </w:r>
      <w:r w:rsidRPr="00227727">
        <w:rPr>
          <w:rFonts w:ascii="Arial" w:hAnsi="Arial" w:cs="Arial"/>
          <w:lang w:val="en-GB"/>
        </w:rPr>
        <w:t xml:space="preserve"> (2nd ed.). Palgrave Macmillan.</w:t>
      </w:r>
    </w:p>
    <w:p w14:paraId="3942C7BC"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Creswell, J. W. (2003). </w:t>
      </w:r>
      <w:r w:rsidRPr="00227727">
        <w:rPr>
          <w:rStyle w:val="Emphasis"/>
          <w:rFonts w:ascii="Arial" w:eastAsiaTheme="majorEastAsia" w:hAnsi="Arial" w:cs="Arial"/>
          <w:lang w:val="en-GB"/>
        </w:rPr>
        <w:t>Research design: Qualitative, quantitative, and mixed methods approaches</w:t>
      </w:r>
      <w:r w:rsidRPr="00227727">
        <w:rPr>
          <w:rFonts w:ascii="Arial" w:hAnsi="Arial" w:cs="Arial"/>
          <w:lang w:val="en-GB"/>
        </w:rPr>
        <w:t xml:space="preserve"> (2nd ed.). Sage Publications.</w:t>
      </w:r>
    </w:p>
    <w:p w14:paraId="51F54C1D"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Creswell, J. W., &amp; Plano Clark, V. L. (2018). Designing and Conducting Mixed Methods Research (3rd ed.). Sage Publications.</w:t>
      </w:r>
    </w:p>
    <w:p w14:paraId="4A75E60D"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Crotty, M. (1998). Positivism: The march of science. In </w:t>
      </w:r>
      <w:r w:rsidRPr="00227727">
        <w:rPr>
          <w:rStyle w:val="Emphasis"/>
          <w:rFonts w:ascii="Arial" w:hAnsi="Arial" w:cs="Arial"/>
          <w:sz w:val="24"/>
          <w:szCs w:val="24"/>
        </w:rPr>
        <w:t>The foundations of social research: Meaning and perspective in the research process</w:t>
      </w:r>
      <w:r w:rsidRPr="00227727">
        <w:rPr>
          <w:rFonts w:ascii="Arial" w:hAnsi="Arial" w:cs="Arial"/>
          <w:sz w:val="24"/>
          <w:szCs w:val="24"/>
        </w:rPr>
        <w:t xml:space="preserve"> (pp. 18–41). Sage Publications.</w:t>
      </w:r>
    </w:p>
    <w:p w14:paraId="280761AF"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Davidescu, A. A., Apostu, S. A., Paul, A., &amp; Casuneanu, I. (2020). Work flexibility, job satisfaction, and job performance among Romanian employees—Implications for sustainable human resource management. </w:t>
      </w:r>
      <w:r w:rsidRPr="00227727">
        <w:rPr>
          <w:rFonts w:ascii="Arial" w:hAnsi="Arial" w:cs="Arial"/>
          <w:i/>
          <w:iCs/>
          <w:sz w:val="24"/>
          <w:szCs w:val="24"/>
        </w:rPr>
        <w:t>Sustainability</w:t>
      </w:r>
      <w:r w:rsidRPr="00227727">
        <w:rPr>
          <w:rFonts w:ascii="Arial" w:hAnsi="Arial" w:cs="Arial"/>
          <w:sz w:val="24"/>
          <w:szCs w:val="24"/>
        </w:rPr>
        <w:t>, </w:t>
      </w:r>
      <w:r w:rsidRPr="00227727">
        <w:rPr>
          <w:rFonts w:ascii="Arial" w:hAnsi="Arial" w:cs="Arial"/>
          <w:i/>
          <w:iCs/>
          <w:sz w:val="24"/>
          <w:szCs w:val="24"/>
        </w:rPr>
        <w:t>12</w:t>
      </w:r>
      <w:r w:rsidRPr="00227727">
        <w:rPr>
          <w:rFonts w:ascii="Arial" w:hAnsi="Arial" w:cs="Arial"/>
          <w:sz w:val="24"/>
          <w:szCs w:val="24"/>
        </w:rPr>
        <w:t>(15), 6086.</w:t>
      </w:r>
    </w:p>
    <w:p w14:paraId="3E3B2BB3"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Davidescu, A.A., Apostu, S.A., Paul, A. and Casuneanu, I., 2020. Work flexibility, job satisfaction, and job performance among Romanian employees—Implications for sustainable human resource management. Sustainability, 12(15), p.6086.</w:t>
      </w:r>
    </w:p>
    <w:p w14:paraId="7F08438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De Carlo, A., Girardi, D., Dal Corso, L., Arcucci, E., &amp; Falco, A. (2022). Out of sight, out of mind? A longitudinal investigation of smart working and burnout in the context of the job demands–resources model during the COVID-19 pandemic. </w:t>
      </w:r>
      <w:r w:rsidRPr="00227727">
        <w:rPr>
          <w:rFonts w:ascii="Arial" w:hAnsi="Arial" w:cs="Arial"/>
          <w:i/>
          <w:iCs/>
          <w:sz w:val="24"/>
          <w:szCs w:val="24"/>
        </w:rPr>
        <w:t>Sustainability</w:t>
      </w:r>
      <w:r w:rsidRPr="00227727">
        <w:rPr>
          <w:rFonts w:ascii="Arial" w:hAnsi="Arial" w:cs="Arial"/>
          <w:sz w:val="24"/>
          <w:szCs w:val="24"/>
        </w:rPr>
        <w:t>, </w:t>
      </w:r>
      <w:r w:rsidRPr="00227727">
        <w:rPr>
          <w:rFonts w:ascii="Arial" w:hAnsi="Arial" w:cs="Arial"/>
          <w:i/>
          <w:iCs/>
          <w:sz w:val="24"/>
          <w:szCs w:val="24"/>
        </w:rPr>
        <w:t>14</w:t>
      </w:r>
      <w:r w:rsidRPr="00227727">
        <w:rPr>
          <w:rFonts w:ascii="Arial" w:hAnsi="Arial" w:cs="Arial"/>
          <w:sz w:val="24"/>
          <w:szCs w:val="24"/>
        </w:rPr>
        <w:t>(12), 7121.</w:t>
      </w:r>
    </w:p>
    <w:p w14:paraId="7B1443AC"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De Ménezes, L, M., and C. Kelliher, (2011). ‘Flexible Working and Performance: A Systematic Review of the Evidence for a Business Case,’ International Journal of Management Reviews, 13, 452–474. https://doi. org/10.1111/j.1468-2370.2011.00301.x</w:t>
      </w:r>
    </w:p>
    <w:p w14:paraId="53751A6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Decastri, M., Gagliarducci, F., Previtali, P., &amp; Scarozza, D. (2019). Understanding the use of smart working in public administration: The experience of the presidency of the council of ministers. In </w:t>
      </w:r>
      <w:r w:rsidRPr="00227727">
        <w:rPr>
          <w:rFonts w:ascii="Arial" w:hAnsi="Arial" w:cs="Arial"/>
          <w:i/>
          <w:iCs/>
          <w:sz w:val="24"/>
          <w:szCs w:val="24"/>
        </w:rPr>
        <w:t>Exploring Digital Ecosystems: Organizational and Human Challenges</w:t>
      </w:r>
      <w:r w:rsidRPr="00227727">
        <w:rPr>
          <w:rFonts w:ascii="Arial" w:hAnsi="Arial" w:cs="Arial"/>
          <w:sz w:val="24"/>
          <w:szCs w:val="24"/>
        </w:rPr>
        <w:t> (pp. 343-363). Cham: Springer International Publishing.</w:t>
      </w:r>
    </w:p>
    <w:p w14:paraId="4E824060"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Di Nicola, P., 2017. Smart Working and Teleworking: two possible approaches to lean organisation management. Istituto Nazionale di Statistica, Roma.</w:t>
      </w:r>
    </w:p>
    <w:p w14:paraId="75EC78BD"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lastRenderedPageBreak/>
        <w:t>Di Tecco, C., Ronchetti, M., Russo, S., Ghelli, M., Rondinone, B. M., Persechino, B., &amp; Iavicoli, S. (2021). Implementing smart working in public administration: a follow up study. </w:t>
      </w:r>
      <w:r w:rsidRPr="00227727">
        <w:rPr>
          <w:rFonts w:ascii="Arial" w:hAnsi="Arial" w:cs="Arial"/>
          <w:i/>
          <w:iCs/>
          <w:sz w:val="24"/>
          <w:szCs w:val="24"/>
        </w:rPr>
        <w:t>La Medicina del lavoro</w:t>
      </w:r>
      <w:r w:rsidRPr="00227727">
        <w:rPr>
          <w:rFonts w:ascii="Arial" w:hAnsi="Arial" w:cs="Arial"/>
          <w:sz w:val="24"/>
          <w:szCs w:val="24"/>
        </w:rPr>
        <w:t>, </w:t>
      </w:r>
      <w:r w:rsidRPr="00227727">
        <w:rPr>
          <w:rFonts w:ascii="Arial" w:hAnsi="Arial" w:cs="Arial"/>
          <w:i/>
          <w:iCs/>
          <w:sz w:val="24"/>
          <w:szCs w:val="24"/>
        </w:rPr>
        <w:t>112</w:t>
      </w:r>
      <w:r w:rsidRPr="00227727">
        <w:rPr>
          <w:rFonts w:ascii="Arial" w:hAnsi="Arial" w:cs="Arial"/>
          <w:sz w:val="24"/>
          <w:szCs w:val="24"/>
        </w:rPr>
        <w:t>(2), 141.</w:t>
      </w:r>
    </w:p>
    <w:p w14:paraId="0BE0F103"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Dicke, T., Stebner, F., Linninger, C., Kunter, M., &amp; Leutner, D. (2017). A longitudinal study of teachers’ occupational well-being: Applying the Job Demands-Resources model. </w:t>
      </w:r>
      <w:r w:rsidRPr="00227727">
        <w:rPr>
          <w:rFonts w:ascii="Arial" w:hAnsi="Arial" w:cs="Arial"/>
          <w:i/>
          <w:iCs/>
          <w:sz w:val="24"/>
          <w:szCs w:val="24"/>
        </w:rPr>
        <w:t>Journal of Occupational Health Psychology, 22</w:t>
      </w:r>
      <w:r w:rsidRPr="00227727">
        <w:rPr>
          <w:rFonts w:ascii="Arial" w:hAnsi="Arial" w:cs="Arial"/>
          <w:sz w:val="24"/>
          <w:szCs w:val="24"/>
        </w:rPr>
        <w:t>(3), 262–277.</w:t>
      </w:r>
    </w:p>
    <w:p w14:paraId="4F8AA76D"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Dickmann, M, Brewster, C, &amp; Sparrow, P (eds) 2016, International Human Resource Management : Contemporary HR Issues in Europe, Taylor &amp; Francis Group, London. Available from: ProQuest Ebook Central. [9 April 2021].</w:t>
      </w:r>
    </w:p>
    <w:p w14:paraId="1545E84D"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Dörnyei, Z. (2007). </w:t>
      </w:r>
      <w:r w:rsidRPr="00227727">
        <w:rPr>
          <w:rStyle w:val="Emphasis"/>
          <w:rFonts w:ascii="Arial" w:eastAsiaTheme="majorEastAsia" w:hAnsi="Arial" w:cs="Arial"/>
          <w:lang w:val="en-GB"/>
        </w:rPr>
        <w:t>Research methods in applied linguistics: Quantitative, qualitative, and mixed methodologies.</w:t>
      </w:r>
      <w:r w:rsidRPr="00227727">
        <w:rPr>
          <w:rFonts w:ascii="Arial" w:hAnsi="Arial" w:cs="Arial"/>
          <w:lang w:val="en-GB"/>
        </w:rPr>
        <w:t xml:space="preserve"> Oxford University Press.</w:t>
      </w:r>
    </w:p>
    <w:p w14:paraId="35ED946F"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Dunleavy, P. (2005). New Public Management Is Dead--Long Live Digital-Era Governance. Journal of Public Administration Research and Theory, 16(3), pp.467-494.</w:t>
      </w:r>
    </w:p>
    <w:p w14:paraId="76644495"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Dunning, R., &amp; Nurse, A. (2020). Reimagining sustainable transport systems: Moving beyond COVID-19. </w:t>
      </w:r>
      <w:r w:rsidRPr="00227727">
        <w:rPr>
          <w:rStyle w:val="Emphasis"/>
          <w:rFonts w:ascii="Arial" w:hAnsi="Arial" w:cs="Arial"/>
          <w:color w:val="0E101A"/>
          <w:sz w:val="24"/>
          <w:szCs w:val="24"/>
        </w:rPr>
        <w:t>Sustainability, 11</w:t>
      </w:r>
      <w:r w:rsidRPr="00227727">
        <w:rPr>
          <w:rFonts w:ascii="Arial" w:hAnsi="Arial" w:cs="Arial"/>
          <w:sz w:val="24"/>
          <w:szCs w:val="24"/>
        </w:rPr>
        <w:t>(12), 1229. https://doi.org/10.3390/su11041229</w:t>
      </w:r>
    </w:p>
    <w:p w14:paraId="7FA7F54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Dunning, R., Nurse, A., &amp; Ballantyne, D. (2019). Public Transport Accessibility and Housing Value Uplift in the United Kingdom. </w:t>
      </w:r>
      <w:r w:rsidRPr="00227727">
        <w:rPr>
          <w:rStyle w:val="Emphasis"/>
          <w:rFonts w:ascii="Arial" w:hAnsi="Arial" w:cs="Arial"/>
          <w:color w:val="0E101A"/>
          <w:sz w:val="24"/>
          <w:szCs w:val="24"/>
        </w:rPr>
        <w:t>Journal of Transport Geography, 78</w:t>
      </w:r>
      <w:r w:rsidRPr="00227727">
        <w:rPr>
          <w:rFonts w:ascii="Arial" w:hAnsi="Arial" w:cs="Arial"/>
          <w:sz w:val="24"/>
          <w:szCs w:val="24"/>
        </w:rPr>
        <w:t>, 235-245. https://doi.org/10.1016/j.jtrangeo.2019.06.005</w:t>
      </w:r>
    </w:p>
    <w:p w14:paraId="697A577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Edmondson, A. C., &amp; McManus, S. E. (2007). Methodological fit in management field research. </w:t>
      </w:r>
      <w:r w:rsidRPr="00227727">
        <w:rPr>
          <w:rStyle w:val="Emphasis"/>
          <w:rFonts w:ascii="Arial" w:hAnsi="Arial" w:cs="Arial"/>
          <w:color w:val="0E101A"/>
          <w:sz w:val="24"/>
          <w:szCs w:val="24"/>
        </w:rPr>
        <w:t>Academy of Management Review, 32</w:t>
      </w:r>
      <w:r w:rsidRPr="00227727">
        <w:rPr>
          <w:rFonts w:ascii="Arial" w:hAnsi="Arial" w:cs="Arial"/>
          <w:sz w:val="24"/>
          <w:szCs w:val="24"/>
        </w:rPr>
        <w:t>(4), 1246–1264. https://doi.org/10.5465/amr.2007.26586086</w:t>
      </w:r>
    </w:p>
    <w:p w14:paraId="157AA855"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Edwardson, C. L., Biddle, S. J., Clarke-Cornwell, A., Clemes, S., Davies, M. J., Dunstan, D. W., ... &amp; Munir, F. (2018). A three arm cluster randomised controlled trial to test the effectiveness and cost-effectiveness of the SMART Work &amp; Life intervention for reducing daily sitting time in office workers: study protocol. </w:t>
      </w:r>
      <w:r w:rsidRPr="00227727">
        <w:rPr>
          <w:rFonts w:ascii="Arial" w:hAnsi="Arial" w:cs="Arial"/>
          <w:i/>
          <w:iCs/>
          <w:sz w:val="24"/>
          <w:szCs w:val="24"/>
        </w:rPr>
        <w:t>BMC Public Health</w:t>
      </w:r>
      <w:r w:rsidRPr="00227727">
        <w:rPr>
          <w:rFonts w:ascii="Arial" w:hAnsi="Arial" w:cs="Arial"/>
          <w:sz w:val="24"/>
          <w:szCs w:val="24"/>
        </w:rPr>
        <w:t>, </w:t>
      </w:r>
      <w:r w:rsidRPr="00227727">
        <w:rPr>
          <w:rFonts w:ascii="Arial" w:hAnsi="Arial" w:cs="Arial"/>
          <w:i/>
          <w:iCs/>
          <w:sz w:val="24"/>
          <w:szCs w:val="24"/>
        </w:rPr>
        <w:t>18</w:t>
      </w:r>
      <w:r w:rsidRPr="00227727">
        <w:rPr>
          <w:rFonts w:ascii="Arial" w:hAnsi="Arial" w:cs="Arial"/>
          <w:sz w:val="24"/>
          <w:szCs w:val="24"/>
        </w:rPr>
        <w:t>, 1-13.</w:t>
      </w:r>
    </w:p>
    <w:p w14:paraId="1D98838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El-Gamry, D. and Heselwood, L., 2018. Smarter Working in public services.</w:t>
      </w:r>
    </w:p>
    <w:p w14:paraId="7EFA597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Errichiello, L. and Pianese, T., 2019. Toward a theory on workplaces for smart workers. Facilities.</w:t>
      </w:r>
    </w:p>
    <w:p w14:paraId="6546DD0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Etikan, I., Musa, S. A., &amp; Alkassim, R. S. (2016). Comparison of convenience sampling and purposive sampling. </w:t>
      </w:r>
      <w:r w:rsidRPr="00227727">
        <w:rPr>
          <w:rStyle w:val="Emphasis"/>
          <w:rFonts w:ascii="Arial" w:hAnsi="Arial" w:cs="Arial"/>
          <w:sz w:val="24"/>
          <w:szCs w:val="24"/>
        </w:rPr>
        <w:t>American Journal of Theoretical and Applied Statistics, 5</w:t>
      </w:r>
      <w:r w:rsidRPr="00227727">
        <w:rPr>
          <w:rFonts w:ascii="Arial" w:hAnsi="Arial" w:cs="Arial"/>
          <w:sz w:val="24"/>
          <w:szCs w:val="24"/>
        </w:rPr>
        <w:t>(1), 1–4. https://doi.org/10.11648/j.ajtas.20160501.11</w:t>
      </w:r>
    </w:p>
    <w:p w14:paraId="6A9A5B96"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F. Hair Jr, J., Sarstedt, M., Hopkins, L., &amp; G. Kuppelwieser, V. (2014). Partial least squares structural equation modeling (PLS-SEM) An emerging tool in business research. European business review, 26(2), 106-121.</w:t>
      </w:r>
    </w:p>
    <w:p w14:paraId="3EB887F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Falco, A., Girardi, D., Elfering, A., Peric, T., Pividori, I., &amp; Dal Corso, L. (2023). Is smart working beneficial for workers’ wellbeing? A longitudinal investigation of smart working, workload, and hair cortisol/dehydroepiandrosterone sulfate during the COVID-19 pandemic. </w:t>
      </w:r>
      <w:r w:rsidRPr="00227727">
        <w:rPr>
          <w:rFonts w:ascii="Arial" w:hAnsi="Arial" w:cs="Arial"/>
          <w:i/>
          <w:iCs/>
          <w:sz w:val="24"/>
          <w:szCs w:val="24"/>
        </w:rPr>
        <w:t>International journal of environmental research and public health</w:t>
      </w:r>
      <w:r w:rsidRPr="00227727">
        <w:rPr>
          <w:rFonts w:ascii="Arial" w:hAnsi="Arial" w:cs="Arial"/>
          <w:sz w:val="24"/>
          <w:szCs w:val="24"/>
        </w:rPr>
        <w:t>, </w:t>
      </w:r>
      <w:r w:rsidRPr="00227727">
        <w:rPr>
          <w:rFonts w:ascii="Arial" w:hAnsi="Arial" w:cs="Arial"/>
          <w:i/>
          <w:iCs/>
          <w:sz w:val="24"/>
          <w:szCs w:val="24"/>
        </w:rPr>
        <w:t>20</w:t>
      </w:r>
      <w:r w:rsidRPr="00227727">
        <w:rPr>
          <w:rFonts w:ascii="Arial" w:hAnsi="Arial" w:cs="Arial"/>
          <w:sz w:val="24"/>
          <w:szCs w:val="24"/>
        </w:rPr>
        <w:t>(13), 6220.</w:t>
      </w:r>
    </w:p>
    <w:p w14:paraId="4845264F"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lastRenderedPageBreak/>
        <w:t>Fedorova, A., Koropets, O., &amp; Gatti, M. (2019). Digitalization of human resource management practices and its impact on employees’ well-being.</w:t>
      </w:r>
    </w:p>
    <w:p w14:paraId="1FDB902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Ferrara, B., Pansini, M., De Vincenzi, C., Buonomo, I., &amp; Benevene, P. (2022). Investigating the role of remote working on employees’ performance and well-being: an evidence-based systematic review. </w:t>
      </w:r>
      <w:r w:rsidRPr="00227727">
        <w:rPr>
          <w:rFonts w:ascii="Arial" w:hAnsi="Arial" w:cs="Arial"/>
          <w:i/>
          <w:iCs/>
          <w:sz w:val="24"/>
          <w:szCs w:val="24"/>
        </w:rPr>
        <w:t>International Journal of Environmental Research and Public Health</w:t>
      </w:r>
      <w:r w:rsidRPr="00227727">
        <w:rPr>
          <w:rFonts w:ascii="Arial" w:hAnsi="Arial" w:cs="Arial"/>
          <w:sz w:val="24"/>
          <w:szCs w:val="24"/>
        </w:rPr>
        <w:t>, </w:t>
      </w:r>
      <w:r w:rsidRPr="00227727">
        <w:rPr>
          <w:rFonts w:ascii="Arial" w:hAnsi="Arial" w:cs="Arial"/>
          <w:i/>
          <w:iCs/>
          <w:sz w:val="24"/>
          <w:szCs w:val="24"/>
        </w:rPr>
        <w:t>19</w:t>
      </w:r>
      <w:r w:rsidRPr="00227727">
        <w:rPr>
          <w:rFonts w:ascii="Arial" w:hAnsi="Arial" w:cs="Arial"/>
          <w:sz w:val="24"/>
          <w:szCs w:val="24"/>
        </w:rPr>
        <w:t>(19), 12373.</w:t>
      </w:r>
    </w:p>
    <w:p w14:paraId="4535C76A"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Field, A. (2018). Andy. Discovering statistics using IBM SPSS statistics.</w:t>
      </w:r>
    </w:p>
    <w:p w14:paraId="3B2FFD8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Finkel, S. E. (1995). Causal Analysis with Panel Data. Sage.</w:t>
      </w:r>
    </w:p>
    <w:p w14:paraId="3B1E23F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Fisher, G. G., &amp; To, M. P. S. (2012). Using experience sampling methodology in organizational behavior. </w:t>
      </w:r>
      <w:r w:rsidRPr="00227727">
        <w:rPr>
          <w:rStyle w:val="Emphasis"/>
          <w:rFonts w:ascii="Arial" w:hAnsi="Arial" w:cs="Arial"/>
          <w:color w:val="0E101A"/>
          <w:sz w:val="24"/>
          <w:szCs w:val="24"/>
        </w:rPr>
        <w:t>Journal of Organizational Behavior, 33</w:t>
      </w:r>
      <w:r w:rsidRPr="00227727">
        <w:rPr>
          <w:rFonts w:ascii="Arial" w:hAnsi="Arial" w:cs="Arial"/>
          <w:sz w:val="24"/>
          <w:szCs w:val="24"/>
        </w:rPr>
        <w:t>(7), 865–877. https://doi.org/10.1002/job.1803</w:t>
      </w:r>
    </w:p>
    <w:p w14:paraId="0E55D714"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Fornell, C., &amp; Larcker, D. F. (1981). Evaluating structural equation models with unobservable variables and measurement error. Journal of marketing research, 18(1), 39-50.</w:t>
      </w:r>
    </w:p>
    <w:p w14:paraId="0E28DDC8"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Frantz, A., &amp; Holmgren, K. (2019). The Work Stress Questionnaire (WSQ) – reliability and face validity among male workers. </w:t>
      </w:r>
      <w:r w:rsidRPr="00227727">
        <w:rPr>
          <w:rFonts w:ascii="Arial" w:hAnsi="Arial" w:cs="Arial"/>
          <w:i/>
          <w:iCs/>
          <w:color w:val="000000" w:themeColor="text1"/>
          <w:sz w:val="24"/>
          <w:szCs w:val="24"/>
        </w:rPr>
        <w:t>BMC Public Health</w:t>
      </w:r>
      <w:r w:rsidRPr="00227727">
        <w:rPr>
          <w:rFonts w:ascii="Arial" w:hAnsi="Arial" w:cs="Arial"/>
          <w:color w:val="000000" w:themeColor="text1"/>
          <w:sz w:val="24"/>
          <w:szCs w:val="24"/>
        </w:rPr>
        <w:t>.</w:t>
      </w:r>
    </w:p>
    <w:p w14:paraId="50D0E80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FT (2018). Agile working practices will help to solve productivity puzzle | Financial Times. [online] FT. Available at: https://www.ft.com/content/24830d5e-c25e-11e8-95b1-d36dfef1b89a [Accessed 28 Apr. 2019].</w:t>
      </w:r>
    </w:p>
    <w:p w14:paraId="7961E1A7"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Fuller, C. M., Simmering, M. J., Atinc, G., Atinc, Y., &amp; Babin, B. J. (2016). Common methods variance detection in business research. Journal of business research, 69(8), 3192-3198.</w:t>
      </w:r>
    </w:p>
    <w:p w14:paraId="3B1ABBB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Fuller, C. M., Simmering, M. J., Atinc, G., Atinc, Y., &amp; Babin, B. J. (2016). Common methods variance detection in business research. </w:t>
      </w:r>
      <w:r w:rsidRPr="00227727">
        <w:rPr>
          <w:rStyle w:val="Emphasis"/>
          <w:rFonts w:ascii="Arial" w:hAnsi="Arial" w:cs="Arial"/>
          <w:color w:val="0E101A"/>
          <w:sz w:val="24"/>
          <w:szCs w:val="24"/>
        </w:rPr>
        <w:t>Journal of Business Research, 69</w:t>
      </w:r>
      <w:r w:rsidRPr="00227727">
        <w:rPr>
          <w:rFonts w:ascii="Arial" w:hAnsi="Arial" w:cs="Arial"/>
          <w:sz w:val="24"/>
          <w:szCs w:val="24"/>
        </w:rPr>
        <w:t>(8), 3192–3198. https://doi.org/10.1016/j.jbusres.2015.12.008</w:t>
      </w:r>
    </w:p>
    <w:p w14:paraId="0B9FC1C9"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Gagné, M., Parent-Rocheleau, X., et al. (2022). </w:t>
      </w:r>
      <w:r w:rsidRPr="00227727">
        <w:rPr>
          <w:rFonts w:ascii="Arial" w:eastAsia="Times New Roman" w:hAnsi="Arial" w:cs="Arial"/>
          <w:i/>
          <w:iCs/>
          <w:color w:val="0E101A"/>
          <w:sz w:val="24"/>
          <w:szCs w:val="24"/>
        </w:rPr>
        <w:t>How Algorithmic Management Influences Worker Motivation: A Self-Determination Theory Perspective</w:t>
      </w:r>
      <w:r w:rsidRPr="00227727">
        <w:rPr>
          <w:rFonts w:ascii="Arial" w:eastAsia="Times New Roman" w:hAnsi="Arial" w:cs="Arial"/>
          <w:color w:val="0E101A"/>
          <w:sz w:val="24"/>
          <w:szCs w:val="24"/>
        </w:rPr>
        <w:t>. Canadian Psychology. https://doi.org/10.1037/cap0000324.</w:t>
      </w:r>
    </w:p>
    <w:p w14:paraId="0AD9E3E3"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Galanakis, M. D., &amp; Tsitouri, E. (2022). Positive psychology in the working environment: Job demands-resources theory, work engagement and burnout: A systematic literature review. </w:t>
      </w:r>
      <w:r w:rsidRPr="00227727">
        <w:rPr>
          <w:rFonts w:ascii="Arial" w:hAnsi="Arial" w:cs="Arial"/>
          <w:i/>
          <w:iCs/>
          <w:sz w:val="24"/>
          <w:szCs w:val="24"/>
        </w:rPr>
        <w:t>Frontiers in Psychology, 13</w:t>
      </w:r>
      <w:r w:rsidRPr="00227727">
        <w:rPr>
          <w:rFonts w:ascii="Arial" w:hAnsi="Arial" w:cs="Arial"/>
          <w:sz w:val="24"/>
          <w:szCs w:val="24"/>
        </w:rPr>
        <w:t>, 1022102.</w:t>
      </w:r>
    </w:p>
    <w:p w14:paraId="640820DA"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Galanti, T., Guidetti, G., Mazzei, E., Zappalà, S., &amp; Toscano, F. (2021). Work from home during the COVID-19 outbreak: The impact on employees’ remote work productivity, engagement, and stress. </w:t>
      </w:r>
      <w:r w:rsidRPr="00227727">
        <w:rPr>
          <w:rFonts w:ascii="Arial" w:hAnsi="Arial" w:cs="Arial"/>
          <w:i/>
          <w:iCs/>
          <w:sz w:val="24"/>
          <w:szCs w:val="24"/>
        </w:rPr>
        <w:t>Journal of occupational and environmental medicine</w:t>
      </w:r>
      <w:r w:rsidRPr="00227727">
        <w:rPr>
          <w:rFonts w:ascii="Arial" w:hAnsi="Arial" w:cs="Arial"/>
          <w:sz w:val="24"/>
          <w:szCs w:val="24"/>
        </w:rPr>
        <w:t>, </w:t>
      </w:r>
      <w:r w:rsidRPr="00227727">
        <w:rPr>
          <w:rFonts w:ascii="Arial" w:hAnsi="Arial" w:cs="Arial"/>
          <w:i/>
          <w:iCs/>
          <w:sz w:val="24"/>
          <w:szCs w:val="24"/>
        </w:rPr>
        <w:t>63</w:t>
      </w:r>
      <w:r w:rsidRPr="00227727">
        <w:rPr>
          <w:rFonts w:ascii="Arial" w:hAnsi="Arial" w:cs="Arial"/>
          <w:sz w:val="24"/>
          <w:szCs w:val="24"/>
        </w:rPr>
        <w:t>(7), e426-e432.</w:t>
      </w:r>
    </w:p>
    <w:p w14:paraId="26E13D8A"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Garson, G. D. (2016). Partial least squares: Regression and structural equation models. Statistical Associates Publishing.</w:t>
      </w:r>
    </w:p>
    <w:p w14:paraId="2A0291A7"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Gartner, 2020 https://www.gartner.com/smarterwithgartner/early-covid-19-lessons-learned-from-employers-in-asia/</w:t>
      </w:r>
    </w:p>
    <w:p w14:paraId="3F9A8830" w14:textId="77777777" w:rsidR="00227727" w:rsidRPr="00227727" w:rsidRDefault="00227727" w:rsidP="00227727">
      <w:pPr>
        <w:spacing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shd w:val="clear" w:color="auto" w:fill="FFFFFF"/>
        </w:rPr>
        <w:t>Gastaldi, L., Corso, M., Raguseo, E., Neirotti, P., Paolucci, E. and Martini, A., 2014, September. Smart working: Rethinking work practices to leverage employees’ innovation potential. In </w:t>
      </w:r>
      <w:r w:rsidRPr="00227727">
        <w:rPr>
          <w:rFonts w:ascii="Arial" w:hAnsi="Arial" w:cs="Arial"/>
          <w:i/>
          <w:iCs/>
          <w:color w:val="000000" w:themeColor="text1"/>
          <w:sz w:val="24"/>
          <w:szCs w:val="24"/>
          <w:shd w:val="clear" w:color="auto" w:fill="FFFFFF"/>
        </w:rPr>
        <w:t>Proceedings of the 15th International CINet Conference</w:t>
      </w:r>
      <w:r w:rsidRPr="00227727">
        <w:rPr>
          <w:rFonts w:ascii="Arial" w:hAnsi="Arial" w:cs="Arial"/>
          <w:color w:val="000000" w:themeColor="text1"/>
          <w:sz w:val="24"/>
          <w:szCs w:val="24"/>
          <w:shd w:val="clear" w:color="auto" w:fill="FFFFFF"/>
        </w:rPr>
        <w:t> (Vol. 100).</w:t>
      </w:r>
    </w:p>
    <w:p w14:paraId="26676F1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lastRenderedPageBreak/>
        <w:t>Gharia, R., Narang, R. and Karnik, M.P., 2020. IMPACT OF COVID 19 LOCK DOWN ON THE EMPLOYEES’WELL-BEING: A STUDY WITH REFERENCE TO PROFESSIONALS. PalArch's Journal of Archaeology of Egypt/Egyptology, 17(9), pp.2458-2472.</w:t>
      </w:r>
    </w:p>
    <w:p w14:paraId="691D43B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Ghavami, N., &amp; Peplau, L. A. (2013). An intersectional analysis of gender and ethnic stereotypes: Testing three hypotheses. </w:t>
      </w:r>
      <w:r w:rsidRPr="00227727">
        <w:rPr>
          <w:rStyle w:val="Emphasis"/>
          <w:rFonts w:ascii="Arial" w:hAnsi="Arial" w:cs="Arial"/>
          <w:sz w:val="24"/>
          <w:szCs w:val="24"/>
        </w:rPr>
        <w:t>Psychology of Women Quarterly, 37</w:t>
      </w:r>
      <w:r w:rsidRPr="00227727">
        <w:rPr>
          <w:rFonts w:ascii="Arial" w:hAnsi="Arial" w:cs="Arial"/>
          <w:sz w:val="24"/>
          <w:szCs w:val="24"/>
        </w:rPr>
        <w:t>, 113–127. https://doi.org/10.1177/0361684312464203</w:t>
      </w:r>
    </w:p>
    <w:p w14:paraId="22BB50BF"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Gioia, D. A., Corley, K. G., &amp; Hamilton, A. L. (2013). Seeking qualitative rigor in inductive research: Notes on the Gioia Methodology. </w:t>
      </w:r>
      <w:r w:rsidRPr="00227727">
        <w:rPr>
          <w:rStyle w:val="Emphasis"/>
          <w:rFonts w:ascii="Arial" w:hAnsi="Arial" w:cs="Arial"/>
          <w:color w:val="0E101A"/>
          <w:sz w:val="24"/>
          <w:szCs w:val="24"/>
        </w:rPr>
        <w:t>Organizational Research Methods, 16</w:t>
      </w:r>
      <w:r w:rsidRPr="00227727">
        <w:rPr>
          <w:rFonts w:ascii="Arial" w:hAnsi="Arial" w:cs="Arial"/>
          <w:sz w:val="24"/>
          <w:szCs w:val="24"/>
        </w:rPr>
        <w:t>(1), 15–31. https://doi.org/10.1177/1094428112452151</w:t>
      </w:r>
    </w:p>
    <w:p w14:paraId="071568A3"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Girish, V. G., Lee, J. Y., Lee, C. K., &amp; Olya, H. (2022). Smart working in the travel agencies and employees’ quality of life. </w:t>
      </w:r>
      <w:r w:rsidRPr="00227727">
        <w:rPr>
          <w:rFonts w:ascii="Arial" w:hAnsi="Arial" w:cs="Arial"/>
          <w:i/>
          <w:iCs/>
          <w:sz w:val="24"/>
          <w:szCs w:val="24"/>
        </w:rPr>
        <w:t>Tourism Review</w:t>
      </w:r>
      <w:r w:rsidRPr="00227727">
        <w:rPr>
          <w:rFonts w:ascii="Arial" w:hAnsi="Arial" w:cs="Arial"/>
          <w:sz w:val="24"/>
          <w:szCs w:val="24"/>
        </w:rPr>
        <w:t>, </w:t>
      </w:r>
      <w:r w:rsidRPr="00227727">
        <w:rPr>
          <w:rFonts w:ascii="Arial" w:hAnsi="Arial" w:cs="Arial"/>
          <w:i/>
          <w:iCs/>
          <w:sz w:val="24"/>
          <w:szCs w:val="24"/>
        </w:rPr>
        <w:t>77</w:t>
      </w:r>
      <w:r w:rsidRPr="00227727">
        <w:rPr>
          <w:rFonts w:ascii="Arial" w:hAnsi="Arial" w:cs="Arial"/>
          <w:sz w:val="24"/>
          <w:szCs w:val="24"/>
        </w:rPr>
        <w:t>(4), 989-1008.</w:t>
      </w:r>
    </w:p>
    <w:p w14:paraId="5B5BDFFF"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Goh, J., Pfefer, J. and Zenios, S.A. (2015), “Workplace stressors &amp; health outcomes: health policy for the workplace”, Behavioral Science &amp; Policy, Vol. 1 No. 1, pp. 43–52.</w:t>
      </w:r>
    </w:p>
    <w:p w14:paraId="6EAD2EF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Grandy, G. (2010). Instrumental case study. In A. J. Mills, G. Durepos, &amp; E. Wiebe (Eds.), </w:t>
      </w:r>
      <w:r w:rsidRPr="00227727">
        <w:rPr>
          <w:rStyle w:val="Emphasis"/>
          <w:rFonts w:ascii="Arial" w:hAnsi="Arial" w:cs="Arial"/>
          <w:color w:val="0E101A"/>
          <w:sz w:val="24"/>
          <w:szCs w:val="24"/>
        </w:rPr>
        <w:t>Encyclopedia of Case Study Research</w:t>
      </w:r>
      <w:r w:rsidRPr="00227727">
        <w:rPr>
          <w:rFonts w:ascii="Arial" w:hAnsi="Arial" w:cs="Arial"/>
          <w:sz w:val="24"/>
          <w:szCs w:val="24"/>
        </w:rPr>
        <w:t xml:space="preserve"> (Vol. 2, pp. 473–475). Sage.</w:t>
      </w:r>
    </w:p>
    <w:p w14:paraId="04EFF189"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Grant, C., 2020. Concepts, Terms and Measurement in Agile Working. Agile Working and Well-Being in the Digital Age, pp.19-32.</w:t>
      </w:r>
    </w:p>
    <w:p w14:paraId="0411B79D"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Gray, D. E. (2013). </w:t>
      </w:r>
      <w:r w:rsidRPr="00227727">
        <w:rPr>
          <w:rStyle w:val="Emphasis"/>
          <w:rFonts w:ascii="Arial" w:eastAsiaTheme="majorEastAsia" w:hAnsi="Arial" w:cs="Arial"/>
          <w:lang w:val="en-GB"/>
        </w:rPr>
        <w:t>Doing research in the real world</w:t>
      </w:r>
      <w:r w:rsidRPr="00227727">
        <w:rPr>
          <w:rFonts w:ascii="Arial" w:hAnsi="Arial" w:cs="Arial"/>
          <w:lang w:val="en-GB"/>
        </w:rPr>
        <w:t xml:space="preserve"> (3rd ed.). Sage Publications.</w:t>
      </w:r>
    </w:p>
    <w:p w14:paraId="36BDC745"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Greenwood, R. M. (2008). Intersectional political consciousness: Appreciation for intragroup differences and solidarity in diverse groups. </w:t>
      </w:r>
      <w:r w:rsidRPr="00227727">
        <w:rPr>
          <w:rStyle w:val="Emphasis"/>
          <w:rFonts w:ascii="Arial" w:hAnsi="Arial" w:cs="Arial"/>
          <w:sz w:val="24"/>
          <w:szCs w:val="24"/>
        </w:rPr>
        <w:t>Psychology of Women Quarterly, 32</w:t>
      </w:r>
      <w:r w:rsidRPr="00227727">
        <w:rPr>
          <w:rFonts w:ascii="Arial" w:hAnsi="Arial" w:cs="Arial"/>
          <w:sz w:val="24"/>
          <w:szCs w:val="24"/>
        </w:rPr>
        <w:t>, 36–47. https://doi.org/10.1111/j.1471-6402.2007.00405.x</w:t>
      </w:r>
    </w:p>
    <w:p w14:paraId="2992759D"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Guba, E. G., &amp; Lincoln, Y. S. (2000). Epistemological and methodological bases of naturalistic inquiry. In D. L. Stufflebeam, G. F. Madaus, &amp; T. Kellaghan (Eds.), </w:t>
      </w:r>
      <w:r w:rsidRPr="00227727">
        <w:rPr>
          <w:rStyle w:val="Emphasis"/>
          <w:rFonts w:ascii="Arial" w:eastAsiaTheme="majorEastAsia" w:hAnsi="Arial" w:cs="Arial"/>
          <w:lang w:val="en-GB"/>
        </w:rPr>
        <w:t>Evaluation models: Viewpoints on educational and human services evaluation</w:t>
      </w:r>
      <w:r w:rsidRPr="00227727">
        <w:rPr>
          <w:rFonts w:ascii="Arial" w:hAnsi="Arial" w:cs="Arial"/>
          <w:lang w:val="en-GB"/>
        </w:rPr>
        <w:t xml:space="preserve"> (2nd ed., pp. 363–381). Kluwer Academic.</w:t>
      </w:r>
    </w:p>
    <w:p w14:paraId="72B6CFD0"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Guest, D. E. (2017) Human resource management and employee well</w:t>
      </w:r>
      <w:r w:rsidRPr="00227727">
        <w:rPr>
          <w:rFonts w:ascii="Cambria Math" w:hAnsi="Cambria Math" w:cs="Cambria Math"/>
          <w:color w:val="000000" w:themeColor="text1"/>
          <w:sz w:val="24"/>
          <w:szCs w:val="24"/>
        </w:rPr>
        <w:t>‐</w:t>
      </w:r>
      <w:r w:rsidRPr="00227727">
        <w:rPr>
          <w:rFonts w:ascii="Arial" w:hAnsi="Arial" w:cs="Arial"/>
          <w:color w:val="000000" w:themeColor="text1"/>
          <w:sz w:val="24"/>
          <w:szCs w:val="24"/>
        </w:rPr>
        <w:t>being: towards a new analytic framework. Human Resource Management Journal, 27: 22– 38. doi: 10.1111/1748-8583.12139.</w:t>
      </w:r>
    </w:p>
    <w:p w14:paraId="6A4F5F36"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Gumbie, A. C., Dhanpat, N., &amp; Joseph, R. M. (2023). Perspectives of human resource practitioners in two urban local authorities in Zimbabwe. </w:t>
      </w:r>
      <w:r w:rsidRPr="00227727">
        <w:rPr>
          <w:rStyle w:val="Emphasis"/>
          <w:rFonts w:ascii="Arial" w:eastAsiaTheme="majorEastAsia" w:hAnsi="Arial" w:cs="Arial"/>
          <w:lang w:val="en-GB"/>
        </w:rPr>
        <w:t>SA Journal of Human Resource Management, 21</w:t>
      </w:r>
      <w:r w:rsidRPr="00227727">
        <w:rPr>
          <w:rFonts w:ascii="Arial" w:hAnsi="Arial" w:cs="Arial"/>
          <w:lang w:val="en-GB"/>
        </w:rPr>
        <w:t xml:space="preserve">(0), Article a2188. </w:t>
      </w:r>
      <w:hyperlink r:id="rId21" w:tgtFrame="_new" w:history="1">
        <w:r w:rsidRPr="00227727">
          <w:rPr>
            <w:rStyle w:val="Hyperlink"/>
            <w:rFonts w:ascii="Arial" w:eastAsiaTheme="majorEastAsia" w:hAnsi="Arial" w:cs="Arial"/>
            <w:lang w:val="en-GB"/>
          </w:rPr>
          <w:t>https://doi.org/10.4102/sajhrm.v21i0.2188</w:t>
        </w:r>
      </w:hyperlink>
    </w:p>
    <w:p w14:paraId="0204962E"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Hackman, J., &amp; Oldham, G. (1974). </w:t>
      </w:r>
      <w:r w:rsidRPr="00227727">
        <w:rPr>
          <w:rFonts w:ascii="Arial" w:hAnsi="Arial" w:cs="Arial"/>
          <w:i/>
          <w:iCs/>
          <w:color w:val="000000" w:themeColor="text1"/>
          <w:sz w:val="24"/>
          <w:szCs w:val="24"/>
        </w:rPr>
        <w:t>The Job Diagnostic Survey: An instrument for the diagnosis of jobs and the evaluation of job redesign projects.</w:t>
      </w:r>
      <w:r w:rsidRPr="00227727">
        <w:rPr>
          <w:rFonts w:ascii="Arial" w:hAnsi="Arial" w:cs="Arial"/>
          <w:color w:val="000000" w:themeColor="text1"/>
          <w:sz w:val="24"/>
          <w:szCs w:val="24"/>
        </w:rPr>
        <w:t xml:space="preserve"> New Haven, CT: Yale University.</w:t>
      </w:r>
    </w:p>
    <w:p w14:paraId="050203FC"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Hair Jr, J. F., Hult, G. T. M., Ringle, C. M., Sarstedt, M., Danks, N. P., &amp; Ray, S. (2021). Partial least squares structural equation modeling (PLS-SEM) using R: A workbook (p. 197). Springer Nature.</w:t>
      </w:r>
    </w:p>
    <w:p w14:paraId="395F808A"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Hair, J. F., Black, W. C., Babin, B. J., &amp; Anderson, R. E. (2017). </w:t>
      </w:r>
      <w:r w:rsidRPr="00227727">
        <w:rPr>
          <w:rStyle w:val="Emphasis"/>
          <w:rFonts w:ascii="Arial" w:hAnsi="Arial" w:cs="Arial"/>
          <w:sz w:val="24"/>
          <w:szCs w:val="24"/>
        </w:rPr>
        <w:t>Multivariate data analysis</w:t>
      </w:r>
      <w:r w:rsidRPr="00227727">
        <w:rPr>
          <w:rFonts w:ascii="Arial" w:hAnsi="Arial" w:cs="Arial"/>
          <w:sz w:val="24"/>
          <w:szCs w:val="24"/>
        </w:rPr>
        <w:t xml:space="preserve"> (8th ed.). Pearson.</w:t>
      </w:r>
    </w:p>
    <w:p w14:paraId="1FD2FC21"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Hair, J. F., Black, W. C., Babin, B. J., &amp; Anderson, R. E. (2019). </w:t>
      </w:r>
      <w:r w:rsidRPr="00227727">
        <w:rPr>
          <w:rStyle w:val="Emphasis"/>
          <w:rFonts w:ascii="Arial" w:hAnsi="Arial" w:cs="Arial"/>
          <w:sz w:val="24"/>
          <w:szCs w:val="24"/>
        </w:rPr>
        <w:t>Multivariate data analysis</w:t>
      </w:r>
      <w:r w:rsidRPr="00227727">
        <w:rPr>
          <w:rFonts w:ascii="Arial" w:hAnsi="Arial" w:cs="Arial"/>
          <w:sz w:val="24"/>
          <w:szCs w:val="24"/>
        </w:rPr>
        <w:t xml:space="preserve"> (8th ed.). Pearson.</w:t>
      </w:r>
    </w:p>
    <w:p w14:paraId="7C1F538E"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lastRenderedPageBreak/>
        <w:t>Hair, J. F., Black, W. C., Babin, B. J., &amp; Anderson, R. E. (2019). Multivariate data analysis eight edition. Cengage Learning EMEA: United Kingdom.</w:t>
      </w:r>
    </w:p>
    <w:p w14:paraId="58D5590F"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Hair, J. F., Black, W. C., Babin, B. J., &amp; Anderson, R. E. (2019). Multivariate data analysis eight edition. Cengage Learning EMEA: United Kingdom.</w:t>
      </w:r>
    </w:p>
    <w:p w14:paraId="0BC672A3"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Hair, J. F., Hult, G. T. M., Ringle, C. M., &amp; Sarstedt, M. (2017). A primer on partial least squares structural equation modeling (PLS-SEM). Sage.</w:t>
      </w:r>
    </w:p>
    <w:p w14:paraId="5728970D"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Halonen JI, et al. Occup Environ Med 2020;77:77–83. doi:10.1136/oemed-2019-106173</w:t>
      </w:r>
    </w:p>
    <w:p w14:paraId="4B37C4A2"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Hampton, S., 2017. An ethnography of energy demand and working from home: Exploring the affective dimensions of social practice in the United Kingdom. Energy Research &amp; Social Science, 28, pp.1-10.</w:t>
      </w:r>
    </w:p>
    <w:p w14:paraId="357F5ECF"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Harackiewicz, J. M., Canning, E. A., Tibbetts, Y., Priniski, S. J., &amp; Hyde, J. S. (2015). Closing achievement gaps with a utility-value intervention: Disentangling race and social class. </w:t>
      </w:r>
      <w:r w:rsidRPr="00227727">
        <w:rPr>
          <w:rStyle w:val="Emphasis"/>
          <w:rFonts w:ascii="Arial" w:hAnsi="Arial" w:cs="Arial"/>
          <w:sz w:val="24"/>
          <w:szCs w:val="24"/>
        </w:rPr>
        <w:t>Journal of Personality and Social Psychology</w:t>
      </w:r>
      <w:r w:rsidRPr="00227727">
        <w:rPr>
          <w:rFonts w:ascii="Arial" w:hAnsi="Arial" w:cs="Arial"/>
          <w:sz w:val="24"/>
          <w:szCs w:val="24"/>
        </w:rPr>
        <w:t>. https://doi.org/10.1037/pspp0000075</w:t>
      </w:r>
    </w:p>
    <w:p w14:paraId="7264EA83"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Harris, R., 2015. The changing nature of the workplace and the future of office space. Journal of Property Investment &amp; Finance.</w:t>
      </w:r>
    </w:p>
    <w:p w14:paraId="24859017" w14:textId="77777777" w:rsidR="00227727" w:rsidRPr="00227727" w:rsidRDefault="00227727" w:rsidP="00227727">
      <w:pPr>
        <w:spacing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shd w:val="clear" w:color="auto" w:fill="FFFFFF"/>
        </w:rPr>
        <w:t>Hauff, S., Alewell, D., &amp; Hansen, N. K. (2014). HRM systems between control and commitment: Occurrence, characteristics and effects on HRM outcomes and firm performance. </w:t>
      </w:r>
      <w:r w:rsidRPr="00227727">
        <w:rPr>
          <w:rFonts w:ascii="Arial" w:hAnsi="Arial" w:cs="Arial"/>
          <w:i/>
          <w:iCs/>
          <w:color w:val="000000" w:themeColor="text1"/>
          <w:sz w:val="24"/>
          <w:szCs w:val="24"/>
          <w:shd w:val="clear" w:color="auto" w:fill="FFFFFF"/>
        </w:rPr>
        <w:t>Human resource management journal</w:t>
      </w:r>
      <w:r w:rsidRPr="00227727">
        <w:rPr>
          <w:rFonts w:ascii="Arial" w:hAnsi="Arial" w:cs="Arial"/>
          <w:color w:val="000000" w:themeColor="text1"/>
          <w:sz w:val="24"/>
          <w:szCs w:val="24"/>
          <w:shd w:val="clear" w:color="auto" w:fill="FFFFFF"/>
        </w:rPr>
        <w:t>, </w:t>
      </w:r>
      <w:r w:rsidRPr="00227727">
        <w:rPr>
          <w:rFonts w:ascii="Arial" w:hAnsi="Arial" w:cs="Arial"/>
          <w:i/>
          <w:iCs/>
          <w:color w:val="000000" w:themeColor="text1"/>
          <w:sz w:val="24"/>
          <w:szCs w:val="24"/>
          <w:shd w:val="clear" w:color="auto" w:fill="FFFFFF"/>
        </w:rPr>
        <w:t>24</w:t>
      </w:r>
      <w:r w:rsidRPr="00227727">
        <w:rPr>
          <w:rFonts w:ascii="Arial" w:hAnsi="Arial" w:cs="Arial"/>
          <w:color w:val="000000" w:themeColor="text1"/>
          <w:sz w:val="24"/>
          <w:szCs w:val="24"/>
          <w:shd w:val="clear" w:color="auto" w:fill="FFFFFF"/>
        </w:rPr>
        <w:t>(4), 424-441.</w:t>
      </w:r>
    </w:p>
    <w:p w14:paraId="32F5766F"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Häusser, J.A., Mojzisch, A., Niesel, M. and Schulz-Hardt, S., 2010. Ten years on: A review of recent research on the Job Demand–Control (-Support) model and psychological well-being. Work &amp; Stress, 24(1), pp.1-35.</w:t>
      </w:r>
    </w:p>
    <w:p w14:paraId="0DCD3D05"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Henseler, J., Ringle, C. M., &amp; Sarstedt, M. (2015). A new criterion for assessing discriminant validity in variance-based structural equation modeling. </w:t>
      </w:r>
      <w:r w:rsidRPr="00227727">
        <w:rPr>
          <w:rStyle w:val="Emphasis"/>
          <w:rFonts w:ascii="Arial" w:hAnsi="Arial" w:cs="Arial"/>
          <w:sz w:val="24"/>
          <w:szCs w:val="24"/>
        </w:rPr>
        <w:t>Journal of the Academy of Marketing Science, 43</w:t>
      </w:r>
      <w:r w:rsidRPr="00227727">
        <w:rPr>
          <w:rFonts w:ascii="Arial" w:hAnsi="Arial" w:cs="Arial"/>
          <w:sz w:val="24"/>
          <w:szCs w:val="24"/>
        </w:rPr>
        <w:t xml:space="preserve">(1), 115–135. </w:t>
      </w:r>
      <w:hyperlink r:id="rId22" w:tgtFrame="_new" w:history="1">
        <w:r w:rsidRPr="00227727">
          <w:rPr>
            <w:rStyle w:val="Hyperlink"/>
            <w:rFonts w:ascii="Arial" w:hAnsi="Arial" w:cs="Arial"/>
            <w:sz w:val="24"/>
            <w:szCs w:val="24"/>
          </w:rPr>
          <w:t>https://doi.org/10.1007/s11747-014-0403-8</w:t>
        </w:r>
      </w:hyperlink>
    </w:p>
    <w:p w14:paraId="15AAA13E"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Henseler, J., Ringle, C. M., &amp; Sarstedt, M. (2015). A new criterion for assessing discriminant validity in variance-based structural equation modeling. Journal of the academy of marketing science, 43, 115-135.</w:t>
      </w:r>
    </w:p>
    <w:p w14:paraId="4DF87262"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HighSpeed Office, 2020. 50% Of UK Workforce To Work Remotely By 2020. [online] Hso.co.uk. Available at: &lt;https://www.hso.co.uk/leased-lines/technology-news/homeworking-news/50-of-uk-workforce-to-work-remotely-by-2020#:~:text=Postcode-,50%25%20of%20UK%20workforce%20to%20work%20remotely%20by%202020,response%20to%20the%20coronavirus%20pandemic.&gt; [Accessed 26 June 2020].</w:t>
      </w:r>
    </w:p>
    <w:p w14:paraId="4F48EF8B"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Hillel, T., Bierlaire, M., &amp; Axhausen, K. W. (2018). Recreating Passenger Mode Choice Sets for Transport Simulation: A Case Study of London. </w:t>
      </w:r>
      <w:r w:rsidRPr="00227727">
        <w:rPr>
          <w:rStyle w:val="Emphasis"/>
          <w:rFonts w:ascii="Arial" w:hAnsi="Arial" w:cs="Arial"/>
          <w:color w:val="0E101A"/>
          <w:sz w:val="24"/>
          <w:szCs w:val="24"/>
        </w:rPr>
        <w:t>Journal of Transport Geography, 70</w:t>
      </w:r>
      <w:r w:rsidRPr="00227727">
        <w:rPr>
          <w:rFonts w:ascii="Arial" w:hAnsi="Arial" w:cs="Arial"/>
          <w:sz w:val="24"/>
          <w:szCs w:val="24"/>
        </w:rPr>
        <w:t>, 229-240.</w:t>
      </w:r>
    </w:p>
    <w:p w14:paraId="3C1A8E73"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Hollway, W. (2018). The importance of relational thinking in the practice of psycho-social research: Ontology, epistemology, methodology, and ethics. In </w:t>
      </w:r>
      <w:r w:rsidRPr="00227727">
        <w:rPr>
          <w:rStyle w:val="Emphasis"/>
          <w:rFonts w:ascii="Arial" w:eastAsiaTheme="majorEastAsia" w:hAnsi="Arial" w:cs="Arial"/>
          <w:lang w:val="en-GB"/>
        </w:rPr>
        <w:t>Object relations and social relations</w:t>
      </w:r>
      <w:r w:rsidRPr="00227727">
        <w:rPr>
          <w:rFonts w:ascii="Arial" w:hAnsi="Arial" w:cs="Arial"/>
          <w:lang w:val="en-GB"/>
        </w:rPr>
        <w:t xml:space="preserve"> (pp. 137–161). Routledge.</w:t>
      </w:r>
    </w:p>
    <w:p w14:paraId="61D79B48"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lastRenderedPageBreak/>
        <w:t xml:space="preserve">Holmgren, K., Hensing, G., &amp; Dahlin-Ivanoff, S. (2009). Development of a questionnaire assessing work-related stress in women–identifying individuals who risk being put on sick leave. </w:t>
      </w:r>
      <w:r w:rsidRPr="00227727">
        <w:rPr>
          <w:rFonts w:ascii="Arial" w:hAnsi="Arial" w:cs="Arial"/>
          <w:i/>
          <w:iCs/>
          <w:color w:val="000000" w:themeColor="text1"/>
          <w:sz w:val="24"/>
          <w:szCs w:val="24"/>
        </w:rPr>
        <w:t>Disability and rehabilitation</w:t>
      </w:r>
      <w:r w:rsidRPr="00227727">
        <w:rPr>
          <w:rFonts w:ascii="Arial" w:hAnsi="Arial" w:cs="Arial"/>
          <w:color w:val="000000" w:themeColor="text1"/>
          <w:sz w:val="24"/>
          <w:szCs w:val="24"/>
        </w:rPr>
        <w:t>, 284-292.</w:t>
      </w:r>
    </w:p>
    <w:p w14:paraId="276CFA4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Holmgren, K., Hensing, G., &amp; Dahlin-Ivanoff, S. (2009). Development of a questionnaire assessing work-related stress in women–Identifying individuals who risk being put on sick leave. </w:t>
      </w:r>
      <w:r w:rsidRPr="00227727">
        <w:rPr>
          <w:rStyle w:val="Emphasis"/>
          <w:rFonts w:ascii="Arial" w:hAnsi="Arial" w:cs="Arial"/>
          <w:sz w:val="24"/>
          <w:szCs w:val="24"/>
        </w:rPr>
        <w:t>Disability and Rehabilitation, 31</w:t>
      </w:r>
      <w:r w:rsidRPr="00227727">
        <w:rPr>
          <w:rFonts w:ascii="Arial" w:hAnsi="Arial" w:cs="Arial"/>
          <w:sz w:val="24"/>
          <w:szCs w:val="24"/>
        </w:rPr>
        <w:t>(4), 284–292. https://doi.org/10.1080/09638280801932385</w:t>
      </w:r>
    </w:p>
    <w:p w14:paraId="1AC9C5C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Hopkins, J.L. and McKay, J., 2019. Investigating ‘anywhere working’as a mechanism for alleviating traffic congestion in smart cities. Technological Forecasting and Social Change, 142, pp.258-272.</w:t>
      </w:r>
    </w:p>
    <w:p w14:paraId="49B4B97C"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Hu, L., &amp; Bentler, P. M. (1999). Cutoff criteria for fit indexes in covariance structure analysis: Conventional criteria versus new alternatives. Structural Equation Modeling: A Multidisciplinary Journal, 6(1), 1–55. https://doi.org/10.1080/10705519909540118</w:t>
      </w:r>
    </w:p>
    <w:p w14:paraId="353C964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Hur, J. Y., Cho, W., Lee, G., &amp; Bickerton, S. H. (2019). The “smart work” myth: how bureaucratic inertia and workplace culture stymied digital transformation in the relocation of South Korea’s capital. </w:t>
      </w:r>
      <w:r w:rsidRPr="00227727">
        <w:rPr>
          <w:rFonts w:ascii="Arial" w:hAnsi="Arial" w:cs="Arial"/>
          <w:i/>
          <w:iCs/>
          <w:sz w:val="24"/>
          <w:szCs w:val="24"/>
        </w:rPr>
        <w:t>Asian Studies Review</w:t>
      </w:r>
      <w:r w:rsidRPr="00227727">
        <w:rPr>
          <w:rFonts w:ascii="Arial" w:hAnsi="Arial" w:cs="Arial"/>
          <w:sz w:val="24"/>
          <w:szCs w:val="24"/>
        </w:rPr>
        <w:t>, </w:t>
      </w:r>
      <w:r w:rsidRPr="00227727">
        <w:rPr>
          <w:rFonts w:ascii="Arial" w:hAnsi="Arial" w:cs="Arial"/>
          <w:i/>
          <w:iCs/>
          <w:sz w:val="24"/>
          <w:szCs w:val="24"/>
        </w:rPr>
        <w:t>43</w:t>
      </w:r>
      <w:r w:rsidRPr="00227727">
        <w:rPr>
          <w:rFonts w:ascii="Arial" w:hAnsi="Arial" w:cs="Arial"/>
          <w:sz w:val="24"/>
          <w:szCs w:val="24"/>
        </w:rPr>
        <w:t>(4), 691-709.</w:t>
      </w:r>
    </w:p>
    <w:p w14:paraId="705CE4A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Hystad, P., Larkin, A., Rangarajan, S., AlHabib, K.F., Avezum, A., Calik, K.B., ... &amp; Yusuf, S. (2018). Associations of Outdoor Fine Particulate Air Pollution and Cardiovascular Disease in 157,436 Individuals. </w:t>
      </w:r>
      <w:r w:rsidRPr="00227727">
        <w:rPr>
          <w:rStyle w:val="Emphasis"/>
          <w:rFonts w:ascii="Arial" w:hAnsi="Arial" w:cs="Arial"/>
          <w:color w:val="0E101A"/>
          <w:sz w:val="24"/>
          <w:szCs w:val="24"/>
        </w:rPr>
        <w:t>Environmental Health Perspectives, 126</w:t>
      </w:r>
      <w:r w:rsidRPr="00227727">
        <w:rPr>
          <w:rFonts w:ascii="Arial" w:hAnsi="Arial" w:cs="Arial"/>
          <w:sz w:val="24"/>
          <w:szCs w:val="24"/>
        </w:rPr>
        <w:t>(10), 107002.</w:t>
      </w:r>
    </w:p>
    <w:p w14:paraId="36BD8901"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Iannotta, M., Meret, C. and Marchetti, G., 2020. Defining leadership in smart working contexts: a concept synthesis. Frontiers in Psychology, 11, p.2448.</w:t>
      </w:r>
    </w:p>
    <w:p w14:paraId="203DC23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Inman, P., 2020. Growing Number Of Britons Working From Home, Says ONS. [online] the Guardian. Available at: &lt;https://www.theguardian.com/business/2020/jun/18/uk-working-from-home-ons-coronavirus-businesses&gt; [Accessed 26 June 2020].</w:t>
      </w:r>
    </w:p>
    <w:p w14:paraId="7C5032BB"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International Labour Organization. n.d. Workplace well-being. [online] Available at: &lt;https://www.ilo.org/safework/areasofwork/workplace-health-promotion-and-well-being/WCMS_118396/lang--en/index.htm&gt; [Accessed 13 August 2021]</w:t>
      </w:r>
    </w:p>
    <w:p w14:paraId="2BB73B1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Jensen, J.M., Patel, P.C., &amp; Messersmith, J.G. 2013 High-Performance Work Systems and Job Control: Consequences for Anxiety, Role Overload, and Turnover. Intentions. Journal of Management, 39: 1699-1724.</w:t>
      </w:r>
    </w:p>
    <w:p w14:paraId="2F622D95"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Johari, J., Razali, N., &amp; Zainun, N. F. H. (2021). Job characteristics and work engagement: The moderating role of emotional intelligence. </w:t>
      </w:r>
      <w:r w:rsidRPr="00227727">
        <w:rPr>
          <w:rFonts w:ascii="Arial" w:eastAsia="Times New Roman" w:hAnsi="Arial" w:cs="Arial"/>
          <w:i/>
          <w:iCs/>
          <w:color w:val="0E101A"/>
          <w:sz w:val="24"/>
          <w:szCs w:val="24"/>
        </w:rPr>
        <w:t>Performance Improvement Quarterly</w:t>
      </w:r>
      <w:r w:rsidRPr="00227727">
        <w:rPr>
          <w:rFonts w:ascii="Arial" w:eastAsia="Times New Roman" w:hAnsi="Arial" w:cs="Arial"/>
          <w:color w:val="0E101A"/>
          <w:sz w:val="24"/>
          <w:szCs w:val="24"/>
        </w:rPr>
        <w:t>. https://doi.org/10.1002/piq.21378.</w:t>
      </w:r>
    </w:p>
    <w:p w14:paraId="647B7343"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Johnson, J.V., &amp; Hall, E.M. (1988). Job strain, work place social support, and cardiovascular disease: A cross-sectional study of a random sample of the Swedish working population. American Journal of Public Health, 78, 13361342.</w:t>
      </w:r>
    </w:p>
    <w:p w14:paraId="6F01ABC7"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Joshi, A., Kale, S., Chandel, S., &amp; Pal, D. K. (2015). Likert scale: Explored and explained. </w:t>
      </w:r>
      <w:r w:rsidRPr="00227727">
        <w:rPr>
          <w:rStyle w:val="Emphasis"/>
          <w:rFonts w:ascii="Arial" w:hAnsi="Arial" w:cs="Arial"/>
          <w:sz w:val="24"/>
          <w:szCs w:val="24"/>
        </w:rPr>
        <w:t>British Journal of Applied Science &amp; Technology, 7</w:t>
      </w:r>
      <w:r w:rsidRPr="00227727">
        <w:rPr>
          <w:rFonts w:ascii="Arial" w:hAnsi="Arial" w:cs="Arial"/>
          <w:sz w:val="24"/>
          <w:szCs w:val="24"/>
        </w:rPr>
        <w:t xml:space="preserve">(4), 396–403. </w:t>
      </w:r>
      <w:hyperlink r:id="rId23" w:tgtFrame="_new" w:history="1">
        <w:r w:rsidRPr="00227727">
          <w:rPr>
            <w:rStyle w:val="Hyperlink"/>
            <w:rFonts w:ascii="Arial" w:hAnsi="Arial" w:cs="Arial"/>
            <w:sz w:val="24"/>
            <w:szCs w:val="24"/>
          </w:rPr>
          <w:t>https://doi.org/10.9734/BJAST/2015/14975</w:t>
        </w:r>
      </w:hyperlink>
    </w:p>
    <w:p w14:paraId="2E27D45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lastRenderedPageBreak/>
        <w:t>Junianti, E., &amp; Rony, Z. T. (2023). Implementation employee well-being: Analysis leadership agility, workload analysis, organizational culture, and career adaptability. </w:t>
      </w:r>
      <w:r w:rsidRPr="00227727">
        <w:rPr>
          <w:rFonts w:ascii="Arial" w:hAnsi="Arial" w:cs="Arial"/>
          <w:i/>
          <w:iCs/>
          <w:sz w:val="24"/>
          <w:szCs w:val="24"/>
        </w:rPr>
        <w:t>International Journal of Business and Applied Economics</w:t>
      </w:r>
      <w:r w:rsidRPr="00227727">
        <w:rPr>
          <w:rFonts w:ascii="Arial" w:hAnsi="Arial" w:cs="Arial"/>
          <w:sz w:val="24"/>
          <w:szCs w:val="24"/>
        </w:rPr>
        <w:t>, </w:t>
      </w:r>
      <w:r w:rsidRPr="00227727">
        <w:rPr>
          <w:rFonts w:ascii="Arial" w:hAnsi="Arial" w:cs="Arial"/>
          <w:i/>
          <w:iCs/>
          <w:sz w:val="24"/>
          <w:szCs w:val="24"/>
        </w:rPr>
        <w:t>2</w:t>
      </w:r>
      <w:r w:rsidRPr="00227727">
        <w:rPr>
          <w:rFonts w:ascii="Arial" w:hAnsi="Arial" w:cs="Arial"/>
          <w:sz w:val="24"/>
          <w:szCs w:val="24"/>
        </w:rPr>
        <w:t>(4), 557-568.</w:t>
      </w:r>
    </w:p>
    <w:p w14:paraId="490A391E"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Kakabadse, A.K., Kouzmin, A. and Kakabadse, N.K., 2017. Technostress: over identification with information technology and its impact on employees and managerial effectiveness. In Creating futures: Leading change through information systems (pp. 279-316). Routledge.</w:t>
      </w:r>
    </w:p>
    <w:p w14:paraId="283E051F"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Kalyani, L. D., Priyanath, H. M. S., &amp; Gamage, A. S. (2023). Psychological capital, work engagement, and affective organizational commitment. </w:t>
      </w:r>
      <w:r w:rsidRPr="00227727">
        <w:rPr>
          <w:rFonts w:ascii="Arial" w:eastAsia="Times New Roman" w:hAnsi="Arial" w:cs="Arial"/>
          <w:i/>
          <w:iCs/>
          <w:color w:val="0E101A"/>
          <w:sz w:val="24"/>
          <w:szCs w:val="24"/>
        </w:rPr>
        <w:t>Sri Lanka Journal of Social Sciences and Humanities</w:t>
      </w:r>
      <w:r w:rsidRPr="00227727">
        <w:rPr>
          <w:rFonts w:ascii="Arial" w:eastAsia="Times New Roman" w:hAnsi="Arial" w:cs="Arial"/>
          <w:color w:val="0E101A"/>
          <w:sz w:val="24"/>
          <w:szCs w:val="24"/>
        </w:rPr>
        <w:t>. https://doi.org/10.4038/sljssh.v3i1.89.</w:t>
      </w:r>
    </w:p>
    <w:p w14:paraId="6E574C3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Kattenbach, R., Demerouti, E., &amp; Nachreiner, F. (2010). Flexible working times: Effects on employees' exhaustion, work-nonwork conflict and job performance. Career Development International, 15(3), 279–295. https://doi.org/10.1108/13620431011053749</w:t>
      </w:r>
    </w:p>
    <w:p w14:paraId="26134DD8"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Keeman, A., Näswall, K., Malinen, S. and Kuntz, J. (2017), “Employee wellbeing: evaluating a wellbeing intervention in two settings”, Frontiers in Psychology, Vol. 8, April, pp. 1-14.</w:t>
      </w:r>
    </w:p>
    <w:p w14:paraId="4D9E20F9"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Kelliher, C. and De Menezes, L.M., 2019. Flexible working in organisations: A research overview.</w:t>
      </w:r>
    </w:p>
    <w:p w14:paraId="4663D19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Kelly, F. J., Fuller, G. W., &amp; Walton, H. A. (2020). COVID-19 and air pollution: A clear link for public health policy. </w:t>
      </w:r>
      <w:r w:rsidRPr="00227727">
        <w:rPr>
          <w:rStyle w:val="Emphasis"/>
          <w:rFonts w:ascii="Arial" w:hAnsi="Arial" w:cs="Arial"/>
          <w:color w:val="0E101A"/>
          <w:sz w:val="24"/>
          <w:szCs w:val="24"/>
        </w:rPr>
        <w:t>The Lancet Planetary Health, 4</w:t>
      </w:r>
      <w:r w:rsidRPr="00227727">
        <w:rPr>
          <w:rFonts w:ascii="Arial" w:hAnsi="Arial" w:cs="Arial"/>
          <w:sz w:val="24"/>
          <w:szCs w:val="24"/>
        </w:rPr>
        <w:t>(7), e273-e274. https://doi.org/10.1016/S2542-5196(20)30160-7</w:t>
      </w:r>
    </w:p>
    <w:p w14:paraId="7E6B6ABC"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Kim, K., &amp; Shin, T. H. (2019). Additive effects of performance-and commitment-oriented human resource management systems on organizational outcomes. </w:t>
      </w:r>
      <w:r w:rsidRPr="00227727">
        <w:rPr>
          <w:rFonts w:ascii="Arial" w:hAnsi="Arial" w:cs="Arial"/>
          <w:i/>
          <w:iCs/>
          <w:color w:val="000000" w:themeColor="text1"/>
          <w:sz w:val="24"/>
          <w:szCs w:val="24"/>
        </w:rPr>
        <w:t>Sustainability</w:t>
      </w:r>
      <w:r w:rsidRPr="00227727">
        <w:rPr>
          <w:rFonts w:ascii="Arial" w:hAnsi="Arial" w:cs="Arial"/>
          <w:color w:val="000000" w:themeColor="text1"/>
          <w:sz w:val="24"/>
          <w:szCs w:val="24"/>
        </w:rPr>
        <w:t>.</w:t>
      </w:r>
    </w:p>
    <w:p w14:paraId="79EA9DF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Kincheloe, J. L., &amp; Tobin, K. (2009). The much exaggerated death of positivism. </w:t>
      </w:r>
      <w:r w:rsidRPr="00227727">
        <w:rPr>
          <w:rStyle w:val="Emphasis"/>
          <w:rFonts w:ascii="Arial" w:hAnsi="Arial" w:cs="Arial"/>
          <w:sz w:val="24"/>
          <w:szCs w:val="24"/>
        </w:rPr>
        <w:t>Cultural Studies of Science Education, 4</w:t>
      </w:r>
      <w:r w:rsidRPr="00227727">
        <w:rPr>
          <w:rFonts w:ascii="Arial" w:hAnsi="Arial" w:cs="Arial"/>
          <w:sz w:val="24"/>
          <w:szCs w:val="24"/>
        </w:rPr>
        <w:t>(3), 513–528. https://doi.org/10.1007/s11422-009-9178-5</w:t>
      </w:r>
    </w:p>
    <w:p w14:paraId="38B9F2C1"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Kline, R. B. (2015). </w:t>
      </w:r>
      <w:r w:rsidRPr="00227727">
        <w:rPr>
          <w:rStyle w:val="Emphasis"/>
          <w:rFonts w:ascii="Arial" w:hAnsi="Arial" w:cs="Arial"/>
          <w:sz w:val="24"/>
          <w:szCs w:val="24"/>
        </w:rPr>
        <w:t>Principles and practice of structural equation modeling</w:t>
      </w:r>
      <w:r w:rsidRPr="00227727">
        <w:rPr>
          <w:rFonts w:ascii="Arial" w:hAnsi="Arial" w:cs="Arial"/>
          <w:sz w:val="24"/>
          <w:szCs w:val="24"/>
        </w:rPr>
        <w:t xml:space="preserve"> (4th ed.). Guilford Press.</w:t>
      </w:r>
    </w:p>
    <w:p w14:paraId="50A2A59D"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Kline, R. B. (2015). Principles and practice of structural equation modeling (4th ed.). Guilford Publications.</w:t>
      </w:r>
    </w:p>
    <w:p w14:paraId="0AB8472A"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Klonek, F., &amp; Parker, S. K. (2021). Designing SMART teamwork: How work design can boost performance in virtual teams. </w:t>
      </w:r>
      <w:r w:rsidRPr="00227727">
        <w:rPr>
          <w:rFonts w:ascii="Arial" w:hAnsi="Arial" w:cs="Arial"/>
          <w:i/>
          <w:iCs/>
          <w:sz w:val="24"/>
          <w:szCs w:val="24"/>
        </w:rPr>
        <w:t>Organizational Dynamics</w:t>
      </w:r>
      <w:r w:rsidRPr="00227727">
        <w:rPr>
          <w:rFonts w:ascii="Arial" w:hAnsi="Arial" w:cs="Arial"/>
          <w:sz w:val="24"/>
          <w:szCs w:val="24"/>
        </w:rPr>
        <w:t>, </w:t>
      </w:r>
      <w:r w:rsidRPr="00227727">
        <w:rPr>
          <w:rFonts w:ascii="Arial" w:hAnsi="Arial" w:cs="Arial"/>
          <w:i/>
          <w:iCs/>
          <w:sz w:val="24"/>
          <w:szCs w:val="24"/>
        </w:rPr>
        <w:t>50</w:t>
      </w:r>
      <w:r w:rsidRPr="00227727">
        <w:rPr>
          <w:rFonts w:ascii="Arial" w:hAnsi="Arial" w:cs="Arial"/>
          <w:sz w:val="24"/>
          <w:szCs w:val="24"/>
        </w:rPr>
        <w:t>(1), 100841.</w:t>
      </w:r>
    </w:p>
    <w:p w14:paraId="5A8EC28A"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Kock, N. (2015). Common method bias in PLS-SEM: A full collinearity assessment approach. International Journal of e-Collaboration (ijec), 11(4), 1-10.</w:t>
      </w:r>
    </w:p>
    <w:p w14:paraId="31CA0F63"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Koopmans, L. (2015). </w:t>
      </w:r>
      <w:r w:rsidRPr="00227727">
        <w:rPr>
          <w:rFonts w:ascii="Arial" w:hAnsi="Arial" w:cs="Arial"/>
          <w:i/>
          <w:iCs/>
          <w:color w:val="000000" w:themeColor="text1"/>
          <w:sz w:val="24"/>
          <w:szCs w:val="24"/>
        </w:rPr>
        <w:t>Individual Work Performance Questionnaire instruction manual.</w:t>
      </w:r>
      <w:r w:rsidRPr="00227727">
        <w:rPr>
          <w:rFonts w:ascii="Arial" w:hAnsi="Arial" w:cs="Arial"/>
          <w:color w:val="000000" w:themeColor="text1"/>
          <w:sz w:val="24"/>
          <w:szCs w:val="24"/>
        </w:rPr>
        <w:t xml:space="preserve"> Amsterdam, NL: TNO Innovation for Life – VU University Medical Center.</w:t>
      </w:r>
    </w:p>
    <w:p w14:paraId="2FBD07FB"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Kosec, Z., Sekulic, S., Wilson-Gahan, S., Rostohar, K., Tusak, M., &amp; Bon, M. (2022). Correlation between employee performance, well-being, job satisfaction, and life satisfaction in sedentary jobs in Slovenian enterprises. </w:t>
      </w:r>
      <w:r w:rsidRPr="00227727">
        <w:rPr>
          <w:rFonts w:ascii="Arial" w:hAnsi="Arial" w:cs="Arial"/>
          <w:i/>
          <w:iCs/>
          <w:sz w:val="24"/>
          <w:szCs w:val="24"/>
        </w:rPr>
        <w:t>International journal of environmental research and public health</w:t>
      </w:r>
      <w:r w:rsidRPr="00227727">
        <w:rPr>
          <w:rFonts w:ascii="Arial" w:hAnsi="Arial" w:cs="Arial"/>
          <w:sz w:val="24"/>
          <w:szCs w:val="24"/>
        </w:rPr>
        <w:t>, </w:t>
      </w:r>
      <w:r w:rsidRPr="00227727">
        <w:rPr>
          <w:rFonts w:ascii="Arial" w:hAnsi="Arial" w:cs="Arial"/>
          <w:i/>
          <w:iCs/>
          <w:sz w:val="24"/>
          <w:szCs w:val="24"/>
        </w:rPr>
        <w:t>19</w:t>
      </w:r>
      <w:r w:rsidRPr="00227727">
        <w:rPr>
          <w:rFonts w:ascii="Arial" w:hAnsi="Arial" w:cs="Arial"/>
          <w:sz w:val="24"/>
          <w:szCs w:val="24"/>
        </w:rPr>
        <w:t>(16), 10427.</w:t>
      </w:r>
    </w:p>
    <w:p w14:paraId="01E7F8D0"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Kottey, B., &amp; Sharma, B. (2016). Predictors of flexible working arrangement provision in small and medium enterprises (SMEs). The International Journal of Human Resource Management, 27(22), 2753–2770. https://doi.org/10.1080/09585192.2015.1102160</w:t>
      </w:r>
    </w:p>
    <w:p w14:paraId="3B40E1C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lastRenderedPageBreak/>
        <w:t xml:space="preserve">Krause, A. E., North, A. C., &amp; Davidson, J. W. (2019). Using Self-Determination Theory to Examine Musical Participation and Well-Being. </w:t>
      </w:r>
      <w:r w:rsidRPr="00227727">
        <w:rPr>
          <w:rFonts w:ascii="Arial" w:hAnsi="Arial" w:cs="Arial"/>
          <w:i/>
          <w:iCs/>
          <w:sz w:val="24"/>
          <w:szCs w:val="24"/>
        </w:rPr>
        <w:t>Frontiers in Psychology, 10</w:t>
      </w:r>
      <w:r w:rsidRPr="00227727">
        <w:rPr>
          <w:rFonts w:ascii="Arial" w:hAnsi="Arial" w:cs="Arial"/>
          <w:sz w:val="24"/>
          <w:szCs w:val="24"/>
        </w:rPr>
        <w:t>, 405.</w:t>
      </w:r>
    </w:p>
    <w:p w14:paraId="4321B10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Krause, A. E., North, A. C., &amp; Davidson, J. W. (2019). Using Self-Determination Theory to Examine Musical Participation and Well-Being. </w:t>
      </w:r>
      <w:r w:rsidRPr="00227727">
        <w:rPr>
          <w:rFonts w:ascii="Arial" w:hAnsi="Arial" w:cs="Arial"/>
          <w:i/>
          <w:iCs/>
          <w:sz w:val="24"/>
          <w:szCs w:val="24"/>
        </w:rPr>
        <w:t>Frontiers in Psychology, 10</w:t>
      </w:r>
      <w:r w:rsidRPr="00227727">
        <w:rPr>
          <w:rFonts w:ascii="Arial" w:hAnsi="Arial" w:cs="Arial"/>
          <w:sz w:val="24"/>
          <w:szCs w:val="24"/>
        </w:rPr>
        <w:t>, 405.</w:t>
      </w:r>
    </w:p>
    <w:p w14:paraId="7E9183C7"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Kristina, P., &amp; Annica, A. (2024). Implementing digital technologies in the school setting: How does it relate to work environment? </w:t>
      </w:r>
      <w:r w:rsidRPr="00227727">
        <w:rPr>
          <w:rFonts w:ascii="Arial" w:eastAsia="Times New Roman" w:hAnsi="Arial" w:cs="Arial"/>
          <w:i/>
          <w:iCs/>
          <w:color w:val="0E101A"/>
          <w:sz w:val="24"/>
          <w:szCs w:val="24"/>
        </w:rPr>
        <w:t>Educational Review</w:t>
      </w:r>
      <w:r w:rsidRPr="00227727">
        <w:rPr>
          <w:rFonts w:ascii="Arial" w:eastAsia="Times New Roman" w:hAnsi="Arial" w:cs="Arial"/>
          <w:color w:val="0E101A"/>
          <w:sz w:val="24"/>
          <w:szCs w:val="24"/>
        </w:rPr>
        <w:t>. https://doi.org/10.1080/00131911.2024.2368183.</w:t>
      </w:r>
    </w:p>
    <w:p w14:paraId="2F795D82"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Kylili, A., Afxentiou, N., Georgiou, L., Panteli, C., Morsink-Georgalli, P.Z., Panayidou, A., Papouis, C. and Fokaides, P.A., 2020. The role of Remote Working in smart cities: lessons learnt from COVID-19 pandemic. Energy Sources, Part A: Recovery, Utilization, and Environmental Effects, pp.1-16.</w:t>
      </w:r>
    </w:p>
    <w:p w14:paraId="5E051393"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Lake, A., 2016. Smart flexibility: Moving smart and flexible working from theory to practice. CRC Press.</w:t>
      </w:r>
    </w:p>
    <w:p w14:paraId="03CCD5F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Laughton, K.A. and Thatcher, A., 2018, August. Health and wellbeing in modern office layouts: the case of agile workspaces in green buildings. In Congress of the International Ergonomics Association (pp. 831-840). Springer, Cham.</w:t>
      </w:r>
    </w:p>
    <w:p w14:paraId="6438CC87"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Leavy, P. (2022). </w:t>
      </w:r>
      <w:r w:rsidRPr="00227727">
        <w:rPr>
          <w:rStyle w:val="Emphasis"/>
          <w:rFonts w:ascii="Arial" w:hAnsi="Arial" w:cs="Arial"/>
          <w:sz w:val="24"/>
          <w:szCs w:val="24"/>
        </w:rPr>
        <w:t>Research design: Quantitative, qualitative, mixed methods, arts-based, and community-based participatory research approaches.</w:t>
      </w:r>
      <w:r w:rsidRPr="00227727">
        <w:rPr>
          <w:rFonts w:ascii="Arial" w:hAnsi="Arial" w:cs="Arial"/>
          <w:sz w:val="24"/>
          <w:szCs w:val="24"/>
        </w:rPr>
        <w:t xml:space="preserve"> Guilford Publications.</w:t>
      </w:r>
    </w:p>
    <w:p w14:paraId="720B3D8B"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Legault, L., et al. (2007). </w:t>
      </w:r>
      <w:r w:rsidRPr="00227727">
        <w:rPr>
          <w:rFonts w:ascii="Arial" w:eastAsia="Times New Roman" w:hAnsi="Arial" w:cs="Arial"/>
          <w:i/>
          <w:iCs/>
          <w:color w:val="0E101A"/>
          <w:sz w:val="24"/>
          <w:szCs w:val="24"/>
        </w:rPr>
        <w:t>On the Self-Regulation of Prejudice: A Self-Determination Theory Perspective</w:t>
      </w:r>
      <w:r w:rsidRPr="00227727">
        <w:rPr>
          <w:rFonts w:ascii="Arial" w:eastAsia="Times New Roman" w:hAnsi="Arial" w:cs="Arial"/>
          <w:color w:val="0E101A"/>
          <w:sz w:val="24"/>
          <w:szCs w:val="24"/>
        </w:rPr>
        <w:t>. Personality and Social Psychology Bulletin, 33(5), 732-749. https://doi.org/10.1177/0146167206298564.</w:t>
      </w:r>
    </w:p>
    <w:p w14:paraId="3444E9EB" w14:textId="77777777" w:rsidR="00227727" w:rsidRPr="00227727" w:rsidRDefault="00227727" w:rsidP="00227727">
      <w:pPr>
        <w:spacing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shd w:val="clear" w:color="auto" w:fill="FFFFFF"/>
        </w:rPr>
        <w:t xml:space="preserve">Lerman, R., &amp; Greene, J., 2020. </w:t>
      </w:r>
      <w:r w:rsidRPr="00227727">
        <w:rPr>
          <w:rFonts w:ascii="Arial" w:hAnsi="Arial" w:cs="Arial"/>
          <w:color w:val="000000" w:themeColor="text1"/>
          <w:sz w:val="24"/>
          <w:szCs w:val="24"/>
        </w:rPr>
        <w:t>Big Tech was first to send workers home. Now it’s in no rush to bring them back. [online] The Washington Post. Available at: &lt; https://www.washingtonpost.com/technology/2020/05/18/facebook-google-work-from-home/&gt;</w:t>
      </w:r>
    </w:p>
    <w:p w14:paraId="52CEAFEA"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Levin, K. A. (2006). Study design III: Cross-sectional studies. </w:t>
      </w:r>
      <w:r w:rsidRPr="00227727">
        <w:rPr>
          <w:rFonts w:ascii="Arial" w:hAnsi="Arial" w:cs="Arial"/>
          <w:i/>
          <w:iCs/>
          <w:color w:val="000000" w:themeColor="text1"/>
          <w:sz w:val="24"/>
          <w:szCs w:val="24"/>
        </w:rPr>
        <w:t>Evidence-based dentistry</w:t>
      </w:r>
      <w:r w:rsidRPr="00227727">
        <w:rPr>
          <w:rFonts w:ascii="Arial" w:hAnsi="Arial" w:cs="Arial"/>
          <w:color w:val="000000" w:themeColor="text1"/>
          <w:sz w:val="24"/>
          <w:szCs w:val="24"/>
        </w:rPr>
        <w:t>, 24-25.</w:t>
      </w:r>
    </w:p>
    <w:p w14:paraId="5E3F9227"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Lewis, S., Anderson, D., Lyonette, C., Payne, N. and Wood, S., 2017. Public sector austerity cuts in Britain and the changing discourse of work–life balance. Work, employment and society, 31(4), pp.586-604.</w:t>
      </w:r>
    </w:p>
    <w:p w14:paraId="47D6BC7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Lewis, S., Gambles, R. and Rapoport, R., 2007. The constraints of a ‘work–life balance’approach: An international perspective. The international journal of human resource management, 18(3), pp.360-373.</w:t>
      </w:r>
    </w:p>
    <w:p w14:paraId="1408A9A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Li, M., Fu, N., Chadwick, C., &amp; Harney, B. (2023). Untangling human resource management and employee wellbeing relationships: Differentiating job resource HR practices from challenge demand HR practices. </w:t>
      </w:r>
      <w:r w:rsidRPr="00227727">
        <w:rPr>
          <w:rFonts w:ascii="Arial" w:hAnsi="Arial" w:cs="Arial"/>
          <w:i/>
          <w:iCs/>
          <w:sz w:val="24"/>
          <w:szCs w:val="24"/>
        </w:rPr>
        <w:t>Human Resource Management Journal, 34</w:t>
      </w:r>
      <w:r w:rsidRPr="00227727">
        <w:rPr>
          <w:rFonts w:ascii="Arial" w:hAnsi="Arial" w:cs="Arial"/>
          <w:sz w:val="24"/>
          <w:szCs w:val="24"/>
        </w:rPr>
        <w:t>(1), 214–235.</w:t>
      </w:r>
    </w:p>
    <w:p w14:paraId="2B601FCA"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Li, Z., Yang, Y., Zhang, X., &amp; Lyu, Z. (2021). Impact of Future Work Self on Employee Workplace Wellbeing: A Self-Determination Perspective. </w:t>
      </w:r>
      <w:r w:rsidRPr="00227727">
        <w:rPr>
          <w:rFonts w:ascii="Arial" w:hAnsi="Arial" w:cs="Arial"/>
          <w:i/>
          <w:iCs/>
          <w:sz w:val="24"/>
          <w:szCs w:val="24"/>
        </w:rPr>
        <w:t>Frontiers in Psychology, 12</w:t>
      </w:r>
      <w:r w:rsidRPr="00227727">
        <w:rPr>
          <w:rFonts w:ascii="Arial" w:hAnsi="Arial" w:cs="Arial"/>
          <w:sz w:val="24"/>
          <w:szCs w:val="24"/>
        </w:rPr>
        <w:t>, 656874.</w:t>
      </w:r>
    </w:p>
    <w:p w14:paraId="21B058D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Likert, R. (1932). A technique for the measurement of attitudes. </w:t>
      </w:r>
      <w:r w:rsidRPr="00227727">
        <w:rPr>
          <w:rStyle w:val="Emphasis"/>
          <w:rFonts w:ascii="Arial" w:hAnsi="Arial" w:cs="Arial"/>
          <w:sz w:val="24"/>
          <w:szCs w:val="24"/>
        </w:rPr>
        <w:t>Archives of Psychology, 140</w:t>
      </w:r>
      <w:r w:rsidRPr="00227727">
        <w:rPr>
          <w:rFonts w:ascii="Arial" w:hAnsi="Arial" w:cs="Arial"/>
          <w:sz w:val="24"/>
          <w:szCs w:val="24"/>
        </w:rPr>
        <w:t>, 1–55.</w:t>
      </w:r>
    </w:p>
    <w:p w14:paraId="054DA68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lastRenderedPageBreak/>
        <w:t xml:space="preserve">Loehlin, J. C. (2004). </w:t>
      </w:r>
      <w:r w:rsidRPr="00227727">
        <w:rPr>
          <w:rStyle w:val="Emphasis"/>
          <w:rFonts w:ascii="Arial" w:hAnsi="Arial" w:cs="Arial"/>
          <w:sz w:val="24"/>
          <w:szCs w:val="24"/>
        </w:rPr>
        <w:t>Latent variable models: An introduction to factor, path, and structural equation analysis</w:t>
      </w:r>
      <w:r w:rsidRPr="00227727">
        <w:rPr>
          <w:rFonts w:ascii="Arial" w:hAnsi="Arial" w:cs="Arial"/>
          <w:sz w:val="24"/>
          <w:szCs w:val="24"/>
        </w:rPr>
        <w:t xml:space="preserve"> (4th ed.). Psychology Press.</w:t>
      </w:r>
    </w:p>
    <w:p w14:paraId="0EFB0C4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MacKenzie, S. B., &amp; Podsakoff, P. M. (2012). Common method bias in marketing: Causes, mechanisms, and procedural remedies. </w:t>
      </w:r>
      <w:r w:rsidRPr="00227727">
        <w:rPr>
          <w:rStyle w:val="Emphasis"/>
          <w:rFonts w:ascii="Arial" w:hAnsi="Arial" w:cs="Arial"/>
          <w:color w:val="0E101A"/>
          <w:sz w:val="24"/>
          <w:szCs w:val="24"/>
        </w:rPr>
        <w:t>Journal of Retailing, 88</w:t>
      </w:r>
      <w:r w:rsidRPr="00227727">
        <w:rPr>
          <w:rFonts w:ascii="Arial" w:hAnsi="Arial" w:cs="Arial"/>
          <w:sz w:val="24"/>
          <w:szCs w:val="24"/>
        </w:rPr>
        <w:t>(4), 542–555. https://doi.org/10.1016/j.jretai.2012.08.001</w:t>
      </w:r>
    </w:p>
    <w:p w14:paraId="5013855E"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Macky, K. and Boxall, P., 2008. High-involvement work processes, work intensification and employee well-being: A study of New Zealand worker experiences. Asia Pacific Journal of Human Resources, 46(1), pp.38-55.</w:t>
      </w:r>
    </w:p>
    <w:p w14:paraId="17F0451C"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Macky, K., &amp; Boxall, P. (2008). High-involvement work processes, work intensification and employee well-being: A study of New Zealand worker experiences. </w:t>
      </w:r>
      <w:r w:rsidRPr="00227727">
        <w:rPr>
          <w:rFonts w:ascii="Arial" w:hAnsi="Arial" w:cs="Arial"/>
          <w:i/>
          <w:iCs/>
          <w:color w:val="000000" w:themeColor="text1"/>
          <w:sz w:val="24"/>
          <w:szCs w:val="24"/>
        </w:rPr>
        <w:t>Asia Pacific Journal of Human Resources</w:t>
      </w:r>
      <w:r w:rsidRPr="00227727">
        <w:rPr>
          <w:rFonts w:ascii="Arial" w:hAnsi="Arial" w:cs="Arial"/>
          <w:color w:val="000000" w:themeColor="text1"/>
          <w:sz w:val="24"/>
          <w:szCs w:val="24"/>
        </w:rPr>
        <w:t>, 38-55.</w:t>
      </w:r>
    </w:p>
    <w:p w14:paraId="77981477"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Malhotra, N. K. (2006). Questionnaire design and scale development. </w:t>
      </w:r>
      <w:r w:rsidRPr="00227727">
        <w:rPr>
          <w:rFonts w:ascii="Arial" w:hAnsi="Arial" w:cs="Arial"/>
          <w:i/>
          <w:iCs/>
          <w:color w:val="000000" w:themeColor="text1"/>
          <w:sz w:val="24"/>
          <w:szCs w:val="24"/>
        </w:rPr>
        <w:t>The handbook of marketing research: Uses, misuses, and future advances</w:t>
      </w:r>
      <w:r w:rsidRPr="00227727">
        <w:rPr>
          <w:rFonts w:ascii="Arial" w:hAnsi="Arial" w:cs="Arial"/>
          <w:color w:val="000000" w:themeColor="text1"/>
          <w:sz w:val="24"/>
          <w:szCs w:val="24"/>
        </w:rPr>
        <w:t>, 83-94.</w:t>
      </w:r>
    </w:p>
    <w:p w14:paraId="20561C8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Manganelli, L., Thibault-Landry, A., Forest, J., &amp; Carpentier, J. (2018). Self-Determination Theory Can Help You Generate Performance and Well-Being in the Workplace: A Review of the Literature. </w:t>
      </w:r>
      <w:r w:rsidRPr="00227727">
        <w:rPr>
          <w:rFonts w:ascii="Arial" w:hAnsi="Arial" w:cs="Arial"/>
          <w:i/>
          <w:iCs/>
          <w:sz w:val="24"/>
          <w:szCs w:val="24"/>
        </w:rPr>
        <w:t>Advances in Developing Human Resources</w:t>
      </w:r>
      <w:r w:rsidRPr="00227727">
        <w:rPr>
          <w:rFonts w:ascii="Arial" w:hAnsi="Arial" w:cs="Arial"/>
          <w:sz w:val="24"/>
          <w:szCs w:val="24"/>
        </w:rPr>
        <w:t>. https://doi.org/10.1177/1523422318757210</w:t>
      </w:r>
    </w:p>
    <w:p w14:paraId="229063B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Manganelli, L., Thibault-Landry, A., Forest, J., &amp; Carpentier, J. (2018). Self-Determination Theory Can Help You Generate Performance and Well-Being in the Workplace: A Review of the Literature. </w:t>
      </w:r>
      <w:r w:rsidRPr="00227727">
        <w:rPr>
          <w:rFonts w:ascii="Arial" w:hAnsi="Arial" w:cs="Arial"/>
          <w:i/>
          <w:iCs/>
          <w:sz w:val="24"/>
          <w:szCs w:val="24"/>
        </w:rPr>
        <w:t>Advances in Developing Human Resources</w:t>
      </w:r>
      <w:r w:rsidRPr="00227727">
        <w:rPr>
          <w:rFonts w:ascii="Arial" w:hAnsi="Arial" w:cs="Arial"/>
          <w:sz w:val="24"/>
          <w:szCs w:val="24"/>
        </w:rPr>
        <w:t>. https://doi.org/10.1177/1523422318757210</w:t>
      </w:r>
    </w:p>
    <w:p w14:paraId="184D6D8C"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Mangiavacchi, L., Piccoli, L. and Pieroni, L., 2021. Fathers matter: intrahousehold responsibilities and children’s well-being during the COVID-19 lockdown in Italy. Economics &amp; Human Biology, p.101016.</w:t>
      </w:r>
    </w:p>
    <w:p w14:paraId="6D704B1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Manuti, A., Giancaspro, M. L., Molino, M., Ingusci, E., Russo, V., Signore, F., ... &amp; Cortese, C. G. (2020). “Everything will be fine”: a study on the relationship between employees’ perception of sustainable HRM practices and positive organizational behavior during COVID19. </w:t>
      </w:r>
      <w:r w:rsidRPr="00227727">
        <w:rPr>
          <w:rFonts w:ascii="Arial" w:hAnsi="Arial" w:cs="Arial"/>
          <w:i/>
          <w:iCs/>
          <w:sz w:val="24"/>
          <w:szCs w:val="24"/>
        </w:rPr>
        <w:t>Sustainability</w:t>
      </w:r>
      <w:r w:rsidRPr="00227727">
        <w:rPr>
          <w:rFonts w:ascii="Arial" w:hAnsi="Arial" w:cs="Arial"/>
          <w:sz w:val="24"/>
          <w:szCs w:val="24"/>
        </w:rPr>
        <w:t>, </w:t>
      </w:r>
      <w:r w:rsidRPr="00227727">
        <w:rPr>
          <w:rFonts w:ascii="Arial" w:hAnsi="Arial" w:cs="Arial"/>
          <w:i/>
          <w:iCs/>
          <w:sz w:val="24"/>
          <w:szCs w:val="24"/>
        </w:rPr>
        <w:t>12</w:t>
      </w:r>
      <w:r w:rsidRPr="00227727">
        <w:rPr>
          <w:rFonts w:ascii="Arial" w:hAnsi="Arial" w:cs="Arial"/>
          <w:sz w:val="24"/>
          <w:szCs w:val="24"/>
        </w:rPr>
        <w:t>(23), 10216.</w:t>
      </w:r>
    </w:p>
    <w:p w14:paraId="07FD3974"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Marcoulides, G. A., Chin, W. W., &amp; Saunders, C. (2009). A critical look at partial least squares modeling. MIS quarterly, 33(1), 171-175.</w:t>
      </w:r>
    </w:p>
    <w:p w14:paraId="1891BBEF"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Mari, E., Lausi, G., Fraschetti, A., Pizzo, A., Baldi, M., Quaglieri, A., Burrai, J., Barchielli, B., Avallone, F. and Giannini, A.M., 2021. Teaching during the Pandemic: A Comparison in Psychological Wellbeing among Smart Working Professions. Sustainability, 13(9), p.4850.</w:t>
      </w:r>
    </w:p>
    <w:p w14:paraId="29E37A6B"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Marino, L., &amp; Capone, V. (2021). Smart working and well-being before and during the COVID-19 pandemic: A scoping review. </w:t>
      </w:r>
      <w:r w:rsidRPr="00227727">
        <w:rPr>
          <w:rFonts w:ascii="Arial" w:hAnsi="Arial" w:cs="Arial"/>
          <w:i/>
          <w:iCs/>
          <w:sz w:val="24"/>
          <w:szCs w:val="24"/>
        </w:rPr>
        <w:t>European journal of investigation in health, psychology and education</w:t>
      </w:r>
      <w:r w:rsidRPr="00227727">
        <w:rPr>
          <w:rFonts w:ascii="Arial" w:hAnsi="Arial" w:cs="Arial"/>
          <w:sz w:val="24"/>
          <w:szCs w:val="24"/>
        </w:rPr>
        <w:t>, </w:t>
      </w:r>
      <w:r w:rsidRPr="00227727">
        <w:rPr>
          <w:rFonts w:ascii="Arial" w:hAnsi="Arial" w:cs="Arial"/>
          <w:i/>
          <w:iCs/>
          <w:sz w:val="24"/>
          <w:szCs w:val="24"/>
        </w:rPr>
        <w:t>11</w:t>
      </w:r>
      <w:r w:rsidRPr="00227727">
        <w:rPr>
          <w:rFonts w:ascii="Arial" w:hAnsi="Arial" w:cs="Arial"/>
          <w:sz w:val="24"/>
          <w:szCs w:val="24"/>
        </w:rPr>
        <w:t>(4), 1516-1536.</w:t>
      </w:r>
    </w:p>
    <w:p w14:paraId="16DC365D"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Martin, L. (2021). </w:t>
      </w:r>
      <w:r w:rsidRPr="00227727">
        <w:rPr>
          <w:rStyle w:val="Emphasis"/>
          <w:rFonts w:ascii="Arial" w:eastAsiaTheme="majorEastAsia" w:hAnsi="Arial" w:cs="Arial"/>
          <w:lang w:val="en-GB"/>
        </w:rPr>
        <w:t>How remote working impacts the performance, motivation, and well-being of the Irish recruitment industry.</w:t>
      </w:r>
      <w:r w:rsidRPr="00227727">
        <w:rPr>
          <w:rFonts w:ascii="Arial" w:hAnsi="Arial" w:cs="Arial"/>
          <w:lang w:val="en-GB"/>
        </w:rPr>
        <w:t xml:space="preserve"> National College of Ireland.</w:t>
      </w:r>
    </w:p>
    <w:p w14:paraId="191E38F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Martin, L., Hauret, L., &amp; Fuhrer, C. (2022). Digitally transformed home office impacts on job satisfaction, job stress and job productivity. COVID-19 findings. </w:t>
      </w:r>
      <w:r w:rsidRPr="00227727">
        <w:rPr>
          <w:rFonts w:ascii="Arial" w:hAnsi="Arial" w:cs="Arial"/>
          <w:i/>
          <w:iCs/>
          <w:sz w:val="24"/>
          <w:szCs w:val="24"/>
        </w:rPr>
        <w:t>Plos one</w:t>
      </w:r>
      <w:r w:rsidRPr="00227727">
        <w:rPr>
          <w:rFonts w:ascii="Arial" w:hAnsi="Arial" w:cs="Arial"/>
          <w:sz w:val="24"/>
          <w:szCs w:val="24"/>
        </w:rPr>
        <w:t>, </w:t>
      </w:r>
      <w:r w:rsidRPr="00227727">
        <w:rPr>
          <w:rFonts w:ascii="Arial" w:hAnsi="Arial" w:cs="Arial"/>
          <w:i/>
          <w:iCs/>
          <w:sz w:val="24"/>
          <w:szCs w:val="24"/>
        </w:rPr>
        <w:t>17</w:t>
      </w:r>
      <w:r w:rsidRPr="00227727">
        <w:rPr>
          <w:rFonts w:ascii="Arial" w:hAnsi="Arial" w:cs="Arial"/>
          <w:sz w:val="24"/>
          <w:szCs w:val="24"/>
        </w:rPr>
        <w:t>(3), e0265131.</w:t>
      </w:r>
    </w:p>
    <w:p w14:paraId="377B675E"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lastRenderedPageBreak/>
        <w:t xml:space="preserve">Mazzetti, G., Guglielmi, D., &amp; Schaufeli, W. B. (2016). Same actors, different roles: The contribution of personal resources and work engagement to occupational well-being. </w:t>
      </w:r>
      <w:r w:rsidRPr="00227727">
        <w:rPr>
          <w:rFonts w:ascii="Arial" w:hAnsi="Arial" w:cs="Arial"/>
          <w:i/>
          <w:iCs/>
          <w:sz w:val="24"/>
          <w:szCs w:val="24"/>
        </w:rPr>
        <w:t>Work &amp; Stress, 30</w:t>
      </w:r>
      <w:r w:rsidRPr="00227727">
        <w:rPr>
          <w:rFonts w:ascii="Arial" w:hAnsi="Arial" w:cs="Arial"/>
          <w:sz w:val="24"/>
          <w:szCs w:val="24"/>
        </w:rPr>
        <w:t>(3), 231–247.</w:t>
      </w:r>
    </w:p>
    <w:p w14:paraId="1439579E"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McAnally, K., &amp; Hagger, M. S. (2024). Self-Determination Theory and Workplace Outcomes: A Conceptual Review and Future Research Directions. </w:t>
      </w:r>
      <w:r w:rsidRPr="00227727">
        <w:rPr>
          <w:rFonts w:ascii="Arial" w:hAnsi="Arial" w:cs="Arial"/>
          <w:i/>
          <w:iCs/>
          <w:sz w:val="24"/>
          <w:szCs w:val="24"/>
        </w:rPr>
        <w:t>Behavioral Sciences, 14</w:t>
      </w:r>
      <w:r w:rsidRPr="00227727">
        <w:rPr>
          <w:rFonts w:ascii="Arial" w:hAnsi="Arial" w:cs="Arial"/>
          <w:sz w:val="24"/>
          <w:szCs w:val="24"/>
        </w:rPr>
        <w:t>(6), 428.</w:t>
      </w:r>
    </w:p>
    <w:p w14:paraId="76E31366"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Melnikovas, A. (2018). Towards an explicit research methodology: Adapting research onion model for futures studies. </w:t>
      </w:r>
      <w:r w:rsidRPr="00227727">
        <w:rPr>
          <w:rFonts w:ascii="Arial" w:hAnsi="Arial" w:cs="Arial"/>
          <w:i/>
          <w:iCs/>
          <w:color w:val="000000" w:themeColor="text1"/>
          <w:sz w:val="24"/>
          <w:szCs w:val="24"/>
        </w:rPr>
        <w:t>Journal of Futures Studies</w:t>
      </w:r>
      <w:r w:rsidRPr="00227727">
        <w:rPr>
          <w:rFonts w:ascii="Arial" w:hAnsi="Arial" w:cs="Arial"/>
          <w:color w:val="000000" w:themeColor="text1"/>
          <w:sz w:val="24"/>
          <w:szCs w:val="24"/>
        </w:rPr>
        <w:t>, 29-44.</w:t>
      </w:r>
    </w:p>
    <w:p w14:paraId="006C2971"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Mira, M., Choong, Y., &amp; Thim, C. (2019). The effect of HRM practices and employees’ job satisfaction on employee performance. </w:t>
      </w:r>
      <w:r w:rsidRPr="00227727">
        <w:rPr>
          <w:rFonts w:ascii="Arial" w:hAnsi="Arial" w:cs="Arial"/>
          <w:i/>
          <w:iCs/>
          <w:sz w:val="24"/>
          <w:szCs w:val="24"/>
        </w:rPr>
        <w:t>Management Science Letters</w:t>
      </w:r>
      <w:r w:rsidRPr="00227727">
        <w:rPr>
          <w:rFonts w:ascii="Arial" w:hAnsi="Arial" w:cs="Arial"/>
          <w:sz w:val="24"/>
          <w:szCs w:val="24"/>
        </w:rPr>
        <w:t>, </w:t>
      </w:r>
      <w:r w:rsidRPr="00227727">
        <w:rPr>
          <w:rFonts w:ascii="Arial" w:hAnsi="Arial" w:cs="Arial"/>
          <w:i/>
          <w:iCs/>
          <w:sz w:val="24"/>
          <w:szCs w:val="24"/>
        </w:rPr>
        <w:t>9</w:t>
      </w:r>
      <w:r w:rsidRPr="00227727">
        <w:rPr>
          <w:rFonts w:ascii="Arial" w:hAnsi="Arial" w:cs="Arial"/>
          <w:sz w:val="24"/>
          <w:szCs w:val="24"/>
        </w:rPr>
        <w:t>(6), 771-786.</w:t>
      </w:r>
    </w:p>
    <w:p w14:paraId="507E916B"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Mogaji, E., &amp; Erkan, I. (2018). Insight into Consumer Experience on the UK Railways: A Social Media Analytics Approach. </w:t>
      </w:r>
      <w:r w:rsidRPr="00227727">
        <w:rPr>
          <w:rStyle w:val="Emphasis"/>
          <w:rFonts w:ascii="Arial" w:hAnsi="Arial" w:cs="Arial"/>
          <w:color w:val="0E101A"/>
          <w:sz w:val="24"/>
          <w:szCs w:val="24"/>
        </w:rPr>
        <w:t>Journal of Travel &amp; Tourism Marketing, 35</w:t>
      </w:r>
      <w:r w:rsidRPr="00227727">
        <w:rPr>
          <w:rFonts w:ascii="Arial" w:hAnsi="Arial" w:cs="Arial"/>
          <w:sz w:val="24"/>
          <w:szCs w:val="24"/>
        </w:rPr>
        <w:t>(7), 889-902. https://doi.org/10.1080/10548408.2017.1422455</w:t>
      </w:r>
    </w:p>
    <w:p w14:paraId="229D86A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Mondo, M., Pileri, J., Barbieri, B., Bellini, D., &amp; De Simone, S. (2023). The role of techno-stress and psychological detachment in the relationship between workload and well-being in a sample of Italian smart workers: a moderated mediated model. </w:t>
      </w:r>
      <w:r w:rsidRPr="00227727">
        <w:rPr>
          <w:rFonts w:ascii="Arial" w:hAnsi="Arial" w:cs="Arial"/>
          <w:i/>
          <w:iCs/>
          <w:sz w:val="24"/>
          <w:szCs w:val="24"/>
        </w:rPr>
        <w:t>Social Sciences</w:t>
      </w:r>
      <w:r w:rsidRPr="00227727">
        <w:rPr>
          <w:rFonts w:ascii="Arial" w:hAnsi="Arial" w:cs="Arial"/>
          <w:sz w:val="24"/>
          <w:szCs w:val="24"/>
        </w:rPr>
        <w:t>, </w:t>
      </w:r>
      <w:r w:rsidRPr="00227727">
        <w:rPr>
          <w:rFonts w:ascii="Arial" w:hAnsi="Arial" w:cs="Arial"/>
          <w:i/>
          <w:iCs/>
          <w:sz w:val="24"/>
          <w:szCs w:val="24"/>
        </w:rPr>
        <w:t>12</w:t>
      </w:r>
      <w:r w:rsidRPr="00227727">
        <w:rPr>
          <w:rFonts w:ascii="Arial" w:hAnsi="Arial" w:cs="Arial"/>
          <w:sz w:val="24"/>
          <w:szCs w:val="24"/>
        </w:rPr>
        <w:t>(10), 530.</w:t>
      </w:r>
    </w:p>
    <w:p w14:paraId="104345E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Mondo, M., Pileri, J., Barbieri, B., Bellini, D., &amp; De Simone, S. (2023). The role of techno-stress and psychological detachment in the relationship between workload and well-being in a sample of Italian smart workers: a moderated mediated model. </w:t>
      </w:r>
      <w:r w:rsidRPr="00227727">
        <w:rPr>
          <w:rFonts w:ascii="Arial" w:hAnsi="Arial" w:cs="Arial"/>
          <w:i/>
          <w:iCs/>
          <w:sz w:val="24"/>
          <w:szCs w:val="24"/>
        </w:rPr>
        <w:t>Social Sciences</w:t>
      </w:r>
      <w:r w:rsidRPr="00227727">
        <w:rPr>
          <w:rFonts w:ascii="Arial" w:hAnsi="Arial" w:cs="Arial"/>
          <w:sz w:val="24"/>
          <w:szCs w:val="24"/>
        </w:rPr>
        <w:t>, </w:t>
      </w:r>
      <w:r w:rsidRPr="00227727">
        <w:rPr>
          <w:rFonts w:ascii="Arial" w:hAnsi="Arial" w:cs="Arial"/>
          <w:i/>
          <w:iCs/>
          <w:sz w:val="24"/>
          <w:szCs w:val="24"/>
        </w:rPr>
        <w:t>12</w:t>
      </w:r>
      <w:r w:rsidRPr="00227727">
        <w:rPr>
          <w:rFonts w:ascii="Arial" w:hAnsi="Arial" w:cs="Arial"/>
          <w:sz w:val="24"/>
          <w:szCs w:val="24"/>
        </w:rPr>
        <w:t>(10), 530.</w:t>
      </w:r>
    </w:p>
    <w:p w14:paraId="7FDD8036"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Mostafa, B.A., 2021. The Effect of Remote Working on Employees Wellbeing and Work-Life Integration during Pandemic in Egypt.</w:t>
      </w:r>
    </w:p>
    <w:p w14:paraId="6F8C9AE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Mura, P., Maricchiolo, F., Ghezzi, V., Fiorilli, C., &amp; Alivernini, F. (2018). School organizational well-being: A model based on the Job Demands-Resources theory. </w:t>
      </w:r>
      <w:r w:rsidRPr="00227727">
        <w:rPr>
          <w:rFonts w:ascii="Arial" w:hAnsi="Arial" w:cs="Arial"/>
          <w:i/>
          <w:iCs/>
          <w:sz w:val="24"/>
          <w:szCs w:val="24"/>
        </w:rPr>
        <w:t>Indian Journal of Public Health Research &amp; Development, 9</w:t>
      </w:r>
      <w:r w:rsidRPr="00227727">
        <w:rPr>
          <w:rFonts w:ascii="Arial" w:hAnsi="Arial" w:cs="Arial"/>
          <w:sz w:val="24"/>
          <w:szCs w:val="24"/>
        </w:rPr>
        <w:t>(12), 1537-1542.</w:t>
      </w:r>
    </w:p>
    <w:p w14:paraId="001EFFAA"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Nagar, K., Rana, S., &amp; Kasana, A. (2024). The Mediating Role of Work Engagement between Happiness at Work and Employee Performance: Smart PLS Approach. </w:t>
      </w:r>
      <w:r w:rsidRPr="00227727">
        <w:rPr>
          <w:rFonts w:ascii="Arial" w:hAnsi="Arial" w:cs="Arial"/>
          <w:i/>
          <w:iCs/>
          <w:sz w:val="24"/>
          <w:szCs w:val="24"/>
        </w:rPr>
        <w:t>Journal of Informatics Education and Research</w:t>
      </w:r>
      <w:r w:rsidRPr="00227727">
        <w:rPr>
          <w:rFonts w:ascii="Arial" w:hAnsi="Arial" w:cs="Arial"/>
          <w:sz w:val="24"/>
          <w:szCs w:val="24"/>
        </w:rPr>
        <w:t>, </w:t>
      </w:r>
      <w:r w:rsidRPr="00227727">
        <w:rPr>
          <w:rFonts w:ascii="Arial" w:hAnsi="Arial" w:cs="Arial"/>
          <w:i/>
          <w:iCs/>
          <w:sz w:val="24"/>
          <w:szCs w:val="24"/>
        </w:rPr>
        <w:t>4</w:t>
      </w:r>
      <w:r w:rsidRPr="00227727">
        <w:rPr>
          <w:rFonts w:ascii="Arial" w:hAnsi="Arial" w:cs="Arial"/>
          <w:sz w:val="24"/>
          <w:szCs w:val="24"/>
        </w:rPr>
        <w:t>(1).</w:t>
      </w:r>
    </w:p>
    <w:p w14:paraId="4042C059" w14:textId="77777777" w:rsidR="00227727" w:rsidRPr="00227727" w:rsidRDefault="00227727" w:rsidP="00227727">
      <w:pPr>
        <w:spacing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Nanayakkara, T. 2020. ‘</w:t>
      </w:r>
      <w:r w:rsidRPr="00227727">
        <w:rPr>
          <w:rFonts w:ascii="Arial" w:hAnsi="Arial" w:cs="Arial"/>
          <w:i/>
          <w:iCs/>
          <w:color w:val="000000" w:themeColor="text1"/>
          <w:sz w:val="24"/>
          <w:szCs w:val="24"/>
        </w:rPr>
        <w:t xml:space="preserve">The Dark Side of HR: Machiavellian Strategies of HR Professionals’. </w:t>
      </w:r>
      <w:r w:rsidRPr="00227727">
        <w:rPr>
          <w:rFonts w:ascii="Arial" w:hAnsi="Arial" w:cs="Arial"/>
          <w:color w:val="000000" w:themeColor="text1"/>
          <w:sz w:val="24"/>
          <w:szCs w:val="24"/>
        </w:rPr>
        <w:t>[online] Accessed 27</w:t>
      </w:r>
      <w:r w:rsidRPr="00227727">
        <w:rPr>
          <w:rFonts w:ascii="Arial" w:hAnsi="Arial" w:cs="Arial"/>
          <w:color w:val="000000" w:themeColor="text1"/>
          <w:sz w:val="24"/>
          <w:szCs w:val="24"/>
          <w:vertAlign w:val="superscript"/>
        </w:rPr>
        <w:t>th</w:t>
      </w:r>
      <w:r w:rsidRPr="00227727">
        <w:rPr>
          <w:rFonts w:ascii="Arial" w:hAnsi="Arial" w:cs="Arial"/>
          <w:color w:val="000000" w:themeColor="text1"/>
          <w:sz w:val="24"/>
          <w:szCs w:val="24"/>
        </w:rPr>
        <w:t xml:space="preserve"> August 2021, &lt;https://medium.com/@tissananayakkara1809/the-dark-side-of-hr-machiavellian-strategies-of-hr-professionals-70f9edb836e0&gt;</w:t>
      </w:r>
    </w:p>
    <w:p w14:paraId="5BD9FAE3"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Naseem, K. (2018). Job stress, happiness and life satisfaction: The moderating role of emotional intelligence empirical study in telecommunication sector Pakistan. </w:t>
      </w:r>
      <w:r w:rsidRPr="00227727">
        <w:rPr>
          <w:rFonts w:ascii="Arial" w:hAnsi="Arial" w:cs="Arial"/>
          <w:i/>
          <w:iCs/>
          <w:sz w:val="24"/>
          <w:szCs w:val="24"/>
        </w:rPr>
        <w:t>Journal of Social Sciences and Humanity Studies</w:t>
      </w:r>
      <w:r w:rsidRPr="00227727">
        <w:rPr>
          <w:rFonts w:ascii="Arial" w:hAnsi="Arial" w:cs="Arial"/>
          <w:sz w:val="24"/>
          <w:szCs w:val="24"/>
        </w:rPr>
        <w:t>, </w:t>
      </w:r>
      <w:r w:rsidRPr="00227727">
        <w:rPr>
          <w:rFonts w:ascii="Arial" w:hAnsi="Arial" w:cs="Arial"/>
          <w:i/>
          <w:iCs/>
          <w:sz w:val="24"/>
          <w:szCs w:val="24"/>
        </w:rPr>
        <w:t>4</w:t>
      </w:r>
      <w:r w:rsidRPr="00227727">
        <w:rPr>
          <w:rFonts w:ascii="Arial" w:hAnsi="Arial" w:cs="Arial"/>
          <w:sz w:val="24"/>
          <w:szCs w:val="24"/>
        </w:rPr>
        <w:t>(1), 7-14.</w:t>
      </w:r>
    </w:p>
    <w:p w14:paraId="547AB58C"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National Research Council. 2013. Subjective wellbeing: Measuring Happiness, Suffering, and Other Dimensions of Experience. Washington, DC: The National Academies Press. https://doi.org/10.17226/18548.</w:t>
      </w:r>
    </w:p>
    <w:p w14:paraId="0293A8F6"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lastRenderedPageBreak/>
        <w:t>Nazari, F., Noruzoliaee, M. and Mohammadian, A.K., 2018. Shared versus private mobility: Modeling public interest in autonomous vehicles accounting for latent attitudes. Transportation Research Part C: Emerging Technologies, 97, pp.456-477.</w:t>
      </w:r>
    </w:p>
    <w:p w14:paraId="75C5847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Ndengu, T., &amp; Leka, S. (2022). Work-Related Well-Being in the Zimbabwean Banking Sector: A Job Demands-Resources Perspective. </w:t>
      </w:r>
      <w:r w:rsidRPr="00227727">
        <w:rPr>
          <w:rFonts w:ascii="Arial" w:hAnsi="Arial" w:cs="Arial"/>
          <w:i/>
          <w:iCs/>
          <w:sz w:val="24"/>
          <w:szCs w:val="24"/>
        </w:rPr>
        <w:t>Safety and Health at Work, 13</w:t>
      </w:r>
      <w:r w:rsidRPr="00227727">
        <w:rPr>
          <w:rFonts w:ascii="Arial" w:hAnsi="Arial" w:cs="Arial"/>
          <w:sz w:val="24"/>
          <w:szCs w:val="24"/>
        </w:rPr>
        <w:t>(2), 220–226.</w:t>
      </w:r>
    </w:p>
    <w:p w14:paraId="35778B52"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Nortje, A. (2021, August 18). </w:t>
      </w:r>
      <w:r w:rsidRPr="00227727">
        <w:rPr>
          <w:rFonts w:ascii="Arial" w:hAnsi="Arial" w:cs="Arial"/>
          <w:i/>
          <w:iCs/>
          <w:color w:val="000000" w:themeColor="text1"/>
          <w:sz w:val="24"/>
          <w:szCs w:val="24"/>
        </w:rPr>
        <w:t>Measuring Job Satisfaction: 7 Questionnaires, Surveys, &amp; Scales</w:t>
      </w:r>
      <w:r w:rsidRPr="00227727">
        <w:rPr>
          <w:rFonts w:ascii="Arial" w:hAnsi="Arial" w:cs="Arial"/>
          <w:color w:val="000000" w:themeColor="text1"/>
          <w:sz w:val="24"/>
          <w:szCs w:val="24"/>
        </w:rPr>
        <w:t>. Retrieved from Positive Psychology: https://positivepsychology.com/job-satisfaction-questionnaires-surveys/</w:t>
      </w:r>
    </w:p>
    <w:p w14:paraId="46289B23"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Nunes, P. M., Proença, T., &amp; Carozzo-Todaro, M. E. (2024). A systematic review on well-being and ill-being in working contexts: Contributions of self-determination theory. </w:t>
      </w:r>
      <w:r w:rsidRPr="00227727">
        <w:rPr>
          <w:rFonts w:ascii="Arial" w:hAnsi="Arial" w:cs="Arial"/>
          <w:i/>
          <w:iCs/>
          <w:sz w:val="24"/>
          <w:szCs w:val="24"/>
        </w:rPr>
        <w:t>Personnel Review, 53</w:t>
      </w:r>
      <w:r w:rsidRPr="00227727">
        <w:rPr>
          <w:rFonts w:ascii="Arial" w:hAnsi="Arial" w:cs="Arial"/>
          <w:sz w:val="24"/>
          <w:szCs w:val="24"/>
        </w:rPr>
        <w:t>(2), 375–419.</w:t>
      </w:r>
    </w:p>
    <w:p w14:paraId="1ED45918"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Nunnally, J. C., &amp; Bernstein, I. H. (1994). Psychometric theory (3rd ed.). McGraw-Hill.</w:t>
      </w:r>
    </w:p>
    <w:p w14:paraId="536ABD38"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O’Brien, R. M. (2007). A caution regarding rules of thumb for variance inflation factors. Quality &amp; Quantity, 41(5), 673-690. https://doi.org/10.1007/s11135-006-9018-6</w:t>
      </w:r>
    </w:p>
    <w:p w14:paraId="40E9DC78"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Ölçer, F., &amp; Florescu, M., 2015. Mediating effect of job satisfaction in the relationship between psychological empowerment and job performance. </w:t>
      </w:r>
      <w:r w:rsidRPr="00227727">
        <w:rPr>
          <w:rFonts w:ascii="Arial" w:hAnsi="Arial" w:cs="Arial"/>
          <w:i/>
          <w:iCs/>
          <w:color w:val="000000" w:themeColor="text1"/>
          <w:sz w:val="24"/>
          <w:szCs w:val="24"/>
        </w:rPr>
        <w:t>Theoretical and Applied Economics</w:t>
      </w:r>
      <w:r w:rsidRPr="00227727">
        <w:rPr>
          <w:rFonts w:ascii="Arial" w:hAnsi="Arial" w:cs="Arial"/>
          <w:color w:val="000000" w:themeColor="text1"/>
          <w:sz w:val="24"/>
          <w:szCs w:val="24"/>
        </w:rPr>
        <w:t>, </w:t>
      </w:r>
      <w:r w:rsidRPr="00227727">
        <w:rPr>
          <w:rFonts w:ascii="Arial" w:hAnsi="Arial" w:cs="Arial"/>
          <w:i/>
          <w:iCs/>
          <w:color w:val="000000" w:themeColor="text1"/>
          <w:sz w:val="24"/>
          <w:szCs w:val="24"/>
        </w:rPr>
        <w:t>22</w:t>
      </w:r>
      <w:r w:rsidRPr="00227727">
        <w:rPr>
          <w:rFonts w:ascii="Arial" w:hAnsi="Arial" w:cs="Arial"/>
          <w:color w:val="000000" w:themeColor="text1"/>
          <w:sz w:val="24"/>
          <w:szCs w:val="24"/>
        </w:rPr>
        <w:t>(3), pp.111-136.</w:t>
      </w:r>
    </w:p>
    <w:p w14:paraId="66BBBA3D"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Oosthuizen, R. M. (2019). Smart technology, artificial intelligence, robotics and algorithms (STARA): Employees’ perceptions and wellbeing in future workplaces. </w:t>
      </w:r>
      <w:r w:rsidRPr="00227727">
        <w:rPr>
          <w:rFonts w:ascii="Arial" w:hAnsi="Arial" w:cs="Arial"/>
          <w:i/>
          <w:iCs/>
          <w:sz w:val="24"/>
          <w:szCs w:val="24"/>
        </w:rPr>
        <w:t>Theory, research and dynamics of career wellbeing: Becoming fit for the future</w:t>
      </w:r>
      <w:r w:rsidRPr="00227727">
        <w:rPr>
          <w:rFonts w:ascii="Arial" w:hAnsi="Arial" w:cs="Arial"/>
          <w:sz w:val="24"/>
          <w:szCs w:val="24"/>
        </w:rPr>
        <w:t>, 17-40.</w:t>
      </w:r>
    </w:p>
    <w:p w14:paraId="4AE49D69"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Oppl, S., &amp; Stary, C. (2022). </w:t>
      </w:r>
      <w:r w:rsidRPr="00227727">
        <w:rPr>
          <w:rFonts w:ascii="Arial" w:eastAsia="Times New Roman" w:hAnsi="Arial" w:cs="Arial"/>
          <w:i/>
          <w:iCs/>
          <w:color w:val="0E101A"/>
          <w:sz w:val="24"/>
          <w:szCs w:val="24"/>
        </w:rPr>
        <w:t>Motivating Users to Manage Privacy Concerns: A Design Science Approach Considering SDT</w:t>
      </w:r>
      <w:r w:rsidRPr="00227727">
        <w:rPr>
          <w:rFonts w:ascii="Arial" w:eastAsia="Times New Roman" w:hAnsi="Arial" w:cs="Arial"/>
          <w:color w:val="0E101A"/>
          <w:sz w:val="24"/>
          <w:szCs w:val="24"/>
        </w:rPr>
        <w:t>. Sustainability, 14(900), 1-20. https://doi.org/10.3390/su14020900.</w:t>
      </w:r>
    </w:p>
    <w:p w14:paraId="3F77AA8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Osman, A. R., Sze, N. N., &amp; Wong, Y. D. (2020). COVID-19 measures and sustainable urban mobility: How do data-driven policies change the perception of safety in public transport? </w:t>
      </w:r>
      <w:r w:rsidRPr="00227727">
        <w:rPr>
          <w:rStyle w:val="Emphasis"/>
          <w:rFonts w:ascii="Arial" w:hAnsi="Arial" w:cs="Arial"/>
          <w:color w:val="0E101A"/>
          <w:sz w:val="24"/>
          <w:szCs w:val="24"/>
        </w:rPr>
        <w:t>Transport Policy, 97</w:t>
      </w:r>
      <w:r w:rsidRPr="00227727">
        <w:rPr>
          <w:rFonts w:ascii="Arial" w:hAnsi="Arial" w:cs="Arial"/>
          <w:sz w:val="24"/>
          <w:szCs w:val="24"/>
        </w:rPr>
        <w:t>, 104-111.</w:t>
      </w:r>
    </w:p>
    <w:p w14:paraId="6CD5A74D"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Osman, A. R., Wong, Y. D., &amp; Sze, N. N. (2019). Factors influencing public satisfaction with transit services in Singapore. </w:t>
      </w:r>
      <w:r w:rsidRPr="00227727">
        <w:rPr>
          <w:rStyle w:val="Emphasis"/>
          <w:rFonts w:ascii="Arial" w:hAnsi="Arial" w:cs="Arial"/>
          <w:color w:val="0E101A"/>
          <w:sz w:val="24"/>
          <w:szCs w:val="24"/>
        </w:rPr>
        <w:t>Transport Policy, 81</w:t>
      </w:r>
      <w:r w:rsidRPr="00227727">
        <w:rPr>
          <w:rFonts w:ascii="Arial" w:hAnsi="Arial" w:cs="Arial"/>
          <w:sz w:val="24"/>
          <w:szCs w:val="24"/>
        </w:rPr>
        <w:t>, 113-122. https://doi.org/10.1016/j.tranpol.2019.06.007</w:t>
      </w:r>
    </w:p>
    <w:p w14:paraId="5B801FE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Ozimek, A., 2020. The future of remote work. </w:t>
      </w:r>
      <w:r w:rsidRPr="00227727">
        <w:rPr>
          <w:rFonts w:ascii="Arial" w:hAnsi="Arial" w:cs="Arial"/>
          <w:i/>
          <w:iCs/>
          <w:color w:val="000000" w:themeColor="text1"/>
          <w:sz w:val="24"/>
          <w:szCs w:val="24"/>
        </w:rPr>
        <w:t>Available at SSRN 3638597</w:t>
      </w:r>
      <w:r w:rsidRPr="00227727">
        <w:rPr>
          <w:rFonts w:ascii="Arial" w:hAnsi="Arial" w:cs="Arial"/>
          <w:color w:val="000000" w:themeColor="text1"/>
          <w:sz w:val="24"/>
          <w:szCs w:val="24"/>
        </w:rPr>
        <w:t>.</w:t>
      </w:r>
    </w:p>
    <w:p w14:paraId="5D5475D2"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Paliga, M. M. (2022). Human-cobot interaction fluency and job performance: The mediating role of work engagement. </w:t>
      </w:r>
      <w:r w:rsidRPr="00227727">
        <w:rPr>
          <w:rFonts w:ascii="Arial" w:eastAsia="Times New Roman" w:hAnsi="Arial" w:cs="Arial"/>
          <w:i/>
          <w:iCs/>
          <w:color w:val="0E101A"/>
          <w:sz w:val="24"/>
          <w:szCs w:val="24"/>
        </w:rPr>
        <w:t>Robotics and Autonomous Systems, 155</w:t>
      </w:r>
      <w:r w:rsidRPr="00227727">
        <w:rPr>
          <w:rFonts w:ascii="Arial" w:eastAsia="Times New Roman" w:hAnsi="Arial" w:cs="Arial"/>
          <w:color w:val="0E101A"/>
          <w:sz w:val="24"/>
          <w:szCs w:val="24"/>
        </w:rPr>
        <w:t>. https://doi.org/10.1016/j.robot.2022.104191.</w:t>
      </w:r>
    </w:p>
    <w:p w14:paraId="0C38ED2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Pallant, J. (2020). </w:t>
      </w:r>
      <w:r w:rsidRPr="00227727">
        <w:rPr>
          <w:rStyle w:val="Emphasis"/>
          <w:rFonts w:ascii="Arial" w:hAnsi="Arial" w:cs="Arial"/>
          <w:sz w:val="24"/>
          <w:szCs w:val="24"/>
        </w:rPr>
        <w:t>SPSS survival manual: A step by step guide to data analysis using IBM SPSS.</w:t>
      </w:r>
      <w:r w:rsidRPr="00227727">
        <w:rPr>
          <w:rFonts w:ascii="Arial" w:hAnsi="Arial" w:cs="Arial"/>
          <w:sz w:val="24"/>
          <w:szCs w:val="24"/>
        </w:rPr>
        <w:t xml:space="preserve"> Routledge.</w:t>
      </w:r>
    </w:p>
    <w:p w14:paraId="7EEDDDC8"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Parker, S. K., &amp; Grote, G. (2022). Work design and employee well-being: A multidimensional framework. </w:t>
      </w:r>
      <w:r w:rsidRPr="00227727">
        <w:rPr>
          <w:rFonts w:ascii="Arial" w:eastAsia="Times New Roman" w:hAnsi="Arial" w:cs="Arial"/>
          <w:i/>
          <w:iCs/>
          <w:color w:val="0E101A"/>
          <w:sz w:val="24"/>
          <w:szCs w:val="24"/>
        </w:rPr>
        <w:t>Work and Stress</w:t>
      </w:r>
      <w:r w:rsidRPr="00227727">
        <w:rPr>
          <w:rFonts w:ascii="Arial" w:eastAsia="Times New Roman" w:hAnsi="Arial" w:cs="Arial"/>
          <w:color w:val="0E101A"/>
          <w:sz w:val="24"/>
          <w:szCs w:val="24"/>
        </w:rPr>
        <w:t>. https://doi.org/10.1080/02678373.2022.2025467.</w:t>
      </w:r>
    </w:p>
    <w:p w14:paraId="066236D9"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lastRenderedPageBreak/>
        <w:t xml:space="preserve">Parker, S. K., &amp; Knight, C. (2023). The SMART model of work design: A higher-order structure to help see the wood from the trees. </w:t>
      </w:r>
      <w:r w:rsidRPr="00227727">
        <w:rPr>
          <w:rFonts w:ascii="Arial" w:eastAsia="Times New Roman" w:hAnsi="Arial" w:cs="Arial"/>
          <w:i/>
          <w:iCs/>
          <w:color w:val="0E101A"/>
          <w:sz w:val="24"/>
          <w:szCs w:val="24"/>
        </w:rPr>
        <w:t>Human Resource Management</w:t>
      </w:r>
      <w:r w:rsidRPr="00227727">
        <w:rPr>
          <w:rFonts w:ascii="Arial" w:eastAsia="Times New Roman" w:hAnsi="Arial" w:cs="Arial"/>
          <w:color w:val="0E101A"/>
          <w:sz w:val="24"/>
          <w:szCs w:val="24"/>
        </w:rPr>
        <w:t>. https://doi.org/10.1002/hrm.22200.</w:t>
      </w:r>
    </w:p>
    <w:p w14:paraId="00DED99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Parker, S. K., &amp; Knight, C. (2024). The SMART model of work design: A higher order structure to help see the wood from the trees. </w:t>
      </w:r>
      <w:r w:rsidRPr="00227727">
        <w:rPr>
          <w:rFonts w:ascii="Arial" w:hAnsi="Arial" w:cs="Arial"/>
          <w:i/>
          <w:iCs/>
          <w:sz w:val="24"/>
          <w:szCs w:val="24"/>
        </w:rPr>
        <w:t>Human Resource Management</w:t>
      </w:r>
      <w:r w:rsidRPr="00227727">
        <w:rPr>
          <w:rFonts w:ascii="Arial" w:hAnsi="Arial" w:cs="Arial"/>
          <w:sz w:val="24"/>
          <w:szCs w:val="24"/>
        </w:rPr>
        <w:t>, </w:t>
      </w:r>
      <w:r w:rsidRPr="00227727">
        <w:rPr>
          <w:rFonts w:ascii="Arial" w:hAnsi="Arial" w:cs="Arial"/>
          <w:i/>
          <w:iCs/>
          <w:sz w:val="24"/>
          <w:szCs w:val="24"/>
        </w:rPr>
        <w:t>63</w:t>
      </w:r>
      <w:r w:rsidRPr="00227727">
        <w:rPr>
          <w:rFonts w:ascii="Arial" w:hAnsi="Arial" w:cs="Arial"/>
          <w:sz w:val="24"/>
          <w:szCs w:val="24"/>
        </w:rPr>
        <w:t>(2), 265-291.</w:t>
      </w:r>
    </w:p>
    <w:p w14:paraId="004EE0AF"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Pescara, C., 2021. Gender equality in the workplace and smart working: the case of Italy in a comparative perspective.</w:t>
      </w:r>
    </w:p>
    <w:p w14:paraId="6D0E5717"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Petrillo, A., De Felice, F. and Petrillo, L., 2021. Digital divide, skills and perceptions on smart working in Italy: from necessity to opportunity. Procedia Computer Science, 180, pp.913-921.</w:t>
      </w:r>
    </w:p>
    <w:p w14:paraId="5A2FF790"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Piening, E.P., Baluch, A.M. and Salge, T.O. (2013). ‘The relationship between employees’ perceptions of human resource systems and organisational performance: examining mediating mechanisms and temporal dynamics’. Journal of Applied Psychology, 98:6, 926-947.</w:t>
      </w:r>
    </w:p>
    <w:p w14:paraId="7D393A62" w14:textId="77777777" w:rsidR="00227727" w:rsidRPr="00227727" w:rsidRDefault="00227727" w:rsidP="00227727">
      <w:pPr>
        <w:spacing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Plantronics. 2014. ‘</w:t>
      </w:r>
      <w:r w:rsidRPr="00227727">
        <w:rPr>
          <w:rFonts w:ascii="Arial" w:hAnsi="Arial" w:cs="Arial"/>
          <w:i/>
          <w:iCs/>
          <w:color w:val="000000" w:themeColor="text1"/>
          <w:sz w:val="24"/>
          <w:szCs w:val="24"/>
        </w:rPr>
        <w:t>Smarter Working: Welcome to the Next Age of Work</w:t>
      </w:r>
      <w:r w:rsidRPr="00227727">
        <w:rPr>
          <w:rFonts w:ascii="Arial" w:hAnsi="Arial" w:cs="Arial"/>
          <w:color w:val="000000" w:themeColor="text1"/>
          <w:sz w:val="24"/>
          <w:szCs w:val="24"/>
        </w:rPr>
        <w:t>.’ [online] Accessed 27</w:t>
      </w:r>
      <w:r w:rsidRPr="00227727">
        <w:rPr>
          <w:rFonts w:ascii="Arial" w:hAnsi="Arial" w:cs="Arial"/>
          <w:color w:val="000000" w:themeColor="text1"/>
          <w:sz w:val="24"/>
          <w:szCs w:val="24"/>
          <w:vertAlign w:val="superscript"/>
        </w:rPr>
        <w:t>th</w:t>
      </w:r>
      <w:r w:rsidRPr="00227727">
        <w:rPr>
          <w:rFonts w:ascii="Arial" w:hAnsi="Arial" w:cs="Arial"/>
          <w:color w:val="000000" w:themeColor="text1"/>
          <w:sz w:val="24"/>
          <w:szCs w:val="24"/>
        </w:rPr>
        <w:t xml:space="preserve"> August 2021, &lt;http://www.plantronics.com/us/solutions/smarter-working&gt;</w:t>
      </w:r>
    </w:p>
    <w:p w14:paraId="1781B11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Ployhart, R. E., &amp; Vandenberg, R. J. (2010). Longitudinal research: The theory, design, and analysis of change. </w:t>
      </w:r>
      <w:r w:rsidRPr="00227727">
        <w:rPr>
          <w:rStyle w:val="Emphasis"/>
          <w:rFonts w:ascii="Arial" w:hAnsi="Arial" w:cs="Arial"/>
          <w:color w:val="0E101A"/>
          <w:sz w:val="24"/>
          <w:szCs w:val="24"/>
        </w:rPr>
        <w:t>Journal of Management, 36</w:t>
      </w:r>
      <w:r w:rsidRPr="00227727">
        <w:rPr>
          <w:rFonts w:ascii="Arial" w:hAnsi="Arial" w:cs="Arial"/>
          <w:sz w:val="24"/>
          <w:szCs w:val="24"/>
        </w:rPr>
        <w:t>(1), 94–120. https://doi.org/10.1177/0149206309352110</w:t>
      </w:r>
    </w:p>
    <w:p w14:paraId="6573CA58"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Podsakoff, P. M., &amp; Organ, D. W. (1986). Self-reports in organizational research: Problems and prospects. Journal of Management, 12(4), 531-544. https://doi.org/10.1177/014920638601200408</w:t>
      </w:r>
    </w:p>
    <w:p w14:paraId="26269000"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Podsakoff, P. M., MacKenzie, S. B., &amp; Podsakoff, N. P. (2012). Sources of method bias in social science research and recommendations on how to control it. Annual Review of Psychology, 63, 539-569. https://doi.org/10.1146/annurev-psych-120710-100452</w:t>
      </w:r>
    </w:p>
    <w:p w14:paraId="306F1768"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Podsakoff, P. M., MacKenzie, S. B., Lee, J. Y., &amp; Podsakoff, N. P. (2003). Common method biases in behavioral research: A critical review of the literature and recommended remedies. Journal of Applied Psychology, 88(5), 879-903. https://doi.org/10.1037/0021-9010.88.5.879</w:t>
      </w:r>
    </w:p>
    <w:p w14:paraId="30E1CE9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Podsakoff, P. M., MacKenzie, S. B., Lee, J. Y., &amp; Podsakoff, N. P. (2003). Common method biases in behavioral research: A critical review of the literature and recommended remedies. </w:t>
      </w:r>
      <w:r w:rsidRPr="00227727">
        <w:rPr>
          <w:rStyle w:val="Emphasis"/>
          <w:rFonts w:ascii="Arial" w:hAnsi="Arial" w:cs="Arial"/>
          <w:color w:val="0E101A"/>
          <w:sz w:val="24"/>
          <w:szCs w:val="24"/>
        </w:rPr>
        <w:t>Journal of Applied Psychology, 88</w:t>
      </w:r>
      <w:r w:rsidRPr="00227727">
        <w:rPr>
          <w:rFonts w:ascii="Arial" w:hAnsi="Arial" w:cs="Arial"/>
          <w:sz w:val="24"/>
          <w:szCs w:val="24"/>
        </w:rPr>
        <w:t xml:space="preserve">(5), 879–903. </w:t>
      </w:r>
      <w:hyperlink r:id="rId24" w:tgtFrame="_blank" w:history="1">
        <w:r w:rsidRPr="00227727">
          <w:rPr>
            <w:rStyle w:val="Hyperlink"/>
            <w:rFonts w:ascii="Arial" w:hAnsi="Arial" w:cs="Arial"/>
            <w:color w:val="4A6EE0"/>
            <w:sz w:val="24"/>
            <w:szCs w:val="24"/>
          </w:rPr>
          <w:t>https://doi.org/10.1037/0021-9010.88.5.879</w:t>
        </w:r>
      </w:hyperlink>
    </w:p>
    <w:p w14:paraId="61BF6094" w14:textId="77777777" w:rsidR="00227727" w:rsidRPr="00227727" w:rsidRDefault="00227727" w:rsidP="00227727">
      <w:pPr>
        <w:spacing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Ponting, S.S.-A. (2020), “Organizational identity change: impacts on hotel leadership and employee wellbeing”, The Service Industries Journal, Vol. 40 No. 1-2, pp. 6–26.</w:t>
      </w:r>
    </w:p>
    <w:p w14:paraId="05E8F2E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Pradhan, R. K., &amp; Hati, L. (2022). The measurement of employee well-being: Development and validation of a scale. </w:t>
      </w:r>
      <w:r w:rsidRPr="00227727">
        <w:rPr>
          <w:rStyle w:val="Emphasis"/>
          <w:rFonts w:ascii="Arial" w:hAnsi="Arial" w:cs="Arial"/>
          <w:sz w:val="24"/>
          <w:szCs w:val="24"/>
        </w:rPr>
        <w:t>Global Business Review, 23</w:t>
      </w:r>
      <w:r w:rsidRPr="00227727">
        <w:rPr>
          <w:rFonts w:ascii="Arial" w:hAnsi="Arial" w:cs="Arial"/>
          <w:sz w:val="24"/>
          <w:szCs w:val="24"/>
        </w:rPr>
        <w:t>(2), 385–407. https://doi.org/10.1177/0972150919859101</w:t>
      </w:r>
    </w:p>
    <w:p w14:paraId="54BC0374"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Prus, I., Nacamulli, R. C. D., &amp; Lazazzara, A. (2017). Disentangling workplace innovation: A systematic literature review. </w:t>
      </w:r>
      <w:r w:rsidRPr="00227727">
        <w:rPr>
          <w:rStyle w:val="Emphasis"/>
          <w:rFonts w:ascii="Arial" w:eastAsiaTheme="majorEastAsia" w:hAnsi="Arial" w:cs="Arial"/>
          <w:lang w:val="en-GB"/>
        </w:rPr>
        <w:t>Personnel Review, 46</w:t>
      </w:r>
      <w:r w:rsidRPr="00227727">
        <w:rPr>
          <w:rFonts w:ascii="Arial" w:hAnsi="Arial" w:cs="Arial"/>
          <w:lang w:val="en-GB"/>
        </w:rPr>
        <w:t xml:space="preserve">(7), 1254–1279. </w:t>
      </w:r>
      <w:hyperlink r:id="rId25" w:tgtFrame="_new" w:history="1">
        <w:r w:rsidRPr="00227727">
          <w:rPr>
            <w:rStyle w:val="Hyperlink"/>
            <w:rFonts w:ascii="Arial" w:eastAsiaTheme="majorEastAsia" w:hAnsi="Arial" w:cs="Arial"/>
            <w:lang w:val="en-GB"/>
          </w:rPr>
          <w:t>https://doi.org/10.1108/PR-10-2016-0267</w:t>
        </w:r>
      </w:hyperlink>
    </w:p>
    <w:p w14:paraId="4BDD4A10"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Radjou, N. and Prabhu, J., 2015. Frugal Innovation: How to do more with less. The Economist.</w:t>
      </w:r>
    </w:p>
    <w:p w14:paraId="036F2840" w14:textId="77777777" w:rsidR="00227727" w:rsidRPr="00227727" w:rsidRDefault="00227727" w:rsidP="00227727">
      <w:pPr>
        <w:spacing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lastRenderedPageBreak/>
        <w:t>Raguseo, E., Gastaldi, L., &amp; Neirotti, P. 2016. Smart work: Supporting employees’ flexibility through ICT, HR practices and office layout. In </w:t>
      </w:r>
      <w:r w:rsidRPr="00227727">
        <w:rPr>
          <w:rFonts w:ascii="Arial" w:hAnsi="Arial" w:cs="Arial"/>
          <w:i/>
          <w:iCs/>
          <w:color w:val="000000" w:themeColor="text1"/>
          <w:sz w:val="24"/>
          <w:szCs w:val="24"/>
          <w:shd w:val="clear" w:color="auto" w:fill="FFFFFF"/>
        </w:rPr>
        <w:t>Evidence-based HRM: A Global Forum for Empirical Scholarship</w:t>
      </w:r>
      <w:r w:rsidRPr="00227727">
        <w:rPr>
          <w:rFonts w:ascii="Arial" w:hAnsi="Arial" w:cs="Arial"/>
          <w:color w:val="000000" w:themeColor="text1"/>
          <w:sz w:val="24"/>
          <w:szCs w:val="24"/>
          <w:shd w:val="clear" w:color="auto" w:fill="FFFFFF"/>
        </w:rPr>
        <w:t>. Emerald Group Publishing Limited.</w:t>
      </w:r>
    </w:p>
    <w:p w14:paraId="5A67C9F5" w14:textId="77777777" w:rsidR="00227727" w:rsidRPr="00227727" w:rsidRDefault="00227727" w:rsidP="00227727">
      <w:pPr>
        <w:spacing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t>Rahman, M. S. (2020). The advantages and disadvantages of using qualitative and quantitative approaches and methods in language “testing and assessment” research: A literature review.</w:t>
      </w:r>
    </w:p>
    <w:p w14:paraId="5ABBAA5F"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Rainero, C. and Modarelli, G., 2020. Empowering Technology Acceptance Through the Added Value of Urgency: Teaching Profession Smart</w:t>
      </w:r>
      <w:r w:rsidRPr="00227727">
        <w:rPr>
          <w:rFonts w:ascii="Cambria Math" w:hAnsi="Cambria Math" w:cs="Cambria Math"/>
          <w:color w:val="000000" w:themeColor="text1"/>
          <w:sz w:val="24"/>
          <w:szCs w:val="24"/>
        </w:rPr>
        <w:t>‐</w:t>
      </w:r>
      <w:r w:rsidRPr="00227727">
        <w:rPr>
          <w:rFonts w:ascii="Arial" w:hAnsi="Arial" w:cs="Arial"/>
          <w:color w:val="000000" w:themeColor="text1"/>
          <w:sz w:val="24"/>
          <w:szCs w:val="24"/>
        </w:rPr>
        <w:t>Working Case.</w:t>
      </w:r>
    </w:p>
    <w:p w14:paraId="6C83EDB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Rainero, C. and Modarelli, G., 2021. HOW COGENT CONDITIONS COULD FAVOR OR DISCOURAGE AGILITY ON THE JOB: A PSEUDO SMART-WORKING-SATISFACTION.</w:t>
      </w:r>
    </w:p>
    <w:p w14:paraId="1C430183" w14:textId="77777777" w:rsidR="00227727" w:rsidRPr="00227727" w:rsidRDefault="00227727" w:rsidP="00227727">
      <w:pPr>
        <w:spacing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t xml:space="preserve">Ramos-Villagrasa, P. J., Barrada, J. R., Fernández-del-Río, E., &amp; Koopmans, L. (2019). Assessing Job Performance Using Brief Self-report Scales: The Case of the Individual Work Performance Questionnaire. </w:t>
      </w:r>
      <w:r w:rsidRPr="00227727">
        <w:rPr>
          <w:rFonts w:ascii="Arial" w:hAnsi="Arial" w:cs="Arial"/>
          <w:i/>
          <w:iCs/>
          <w:color w:val="000000" w:themeColor="text1"/>
          <w:sz w:val="24"/>
          <w:szCs w:val="24"/>
          <w:shd w:val="clear" w:color="auto" w:fill="FFFFFF"/>
        </w:rPr>
        <w:t>Revista de Psicología Del Trabajo y de Las Organizaciones</w:t>
      </w:r>
      <w:r w:rsidRPr="00227727">
        <w:rPr>
          <w:rFonts w:ascii="Arial" w:hAnsi="Arial" w:cs="Arial"/>
          <w:color w:val="000000" w:themeColor="text1"/>
          <w:sz w:val="24"/>
          <w:szCs w:val="24"/>
          <w:shd w:val="clear" w:color="auto" w:fill="FFFFFF"/>
        </w:rPr>
        <w:t>, 195-205.</w:t>
      </w:r>
    </w:p>
    <w:p w14:paraId="519DC073"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Ramsay, H., Scholarios, D. and Harley, B. (2000). ‘Employees and high-performance work systems: Testing inside the black box’. British Journal of Industrial Relations 38:4, 501–532.</w:t>
      </w:r>
    </w:p>
    <w:p w14:paraId="2BECEF05" w14:textId="77777777" w:rsidR="00227727" w:rsidRPr="00227727" w:rsidRDefault="00227727" w:rsidP="00227727">
      <w:pPr>
        <w:spacing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t>Ratna, R. and Kaur, T., 2016. The impact of Information Technology on Job Related Factors like Health and Safety, Job Satisfaction, Performance, Productivity and Work Life Balance. </w:t>
      </w:r>
      <w:r w:rsidRPr="00227727">
        <w:rPr>
          <w:rFonts w:ascii="Arial" w:hAnsi="Arial" w:cs="Arial"/>
          <w:i/>
          <w:iCs/>
          <w:color w:val="000000" w:themeColor="text1"/>
          <w:sz w:val="24"/>
          <w:szCs w:val="24"/>
          <w:shd w:val="clear" w:color="auto" w:fill="FFFFFF"/>
        </w:rPr>
        <w:t>J Bus Fin Aff</w:t>
      </w:r>
      <w:r w:rsidRPr="00227727">
        <w:rPr>
          <w:rFonts w:ascii="Arial" w:hAnsi="Arial" w:cs="Arial"/>
          <w:color w:val="000000" w:themeColor="text1"/>
          <w:sz w:val="24"/>
          <w:szCs w:val="24"/>
          <w:shd w:val="clear" w:color="auto" w:fill="FFFFFF"/>
        </w:rPr>
        <w:t>, </w:t>
      </w:r>
      <w:r w:rsidRPr="00227727">
        <w:rPr>
          <w:rFonts w:ascii="Arial" w:hAnsi="Arial" w:cs="Arial"/>
          <w:i/>
          <w:iCs/>
          <w:color w:val="000000" w:themeColor="text1"/>
          <w:sz w:val="24"/>
          <w:szCs w:val="24"/>
          <w:shd w:val="clear" w:color="auto" w:fill="FFFFFF"/>
        </w:rPr>
        <w:t>5</w:t>
      </w:r>
      <w:r w:rsidRPr="00227727">
        <w:rPr>
          <w:rFonts w:ascii="Arial" w:hAnsi="Arial" w:cs="Arial"/>
          <w:color w:val="000000" w:themeColor="text1"/>
          <w:sz w:val="24"/>
          <w:szCs w:val="24"/>
          <w:shd w:val="clear" w:color="auto" w:fill="FFFFFF"/>
        </w:rPr>
        <w:t>(171), pp.2167-0234.</w:t>
      </w:r>
    </w:p>
    <w:p w14:paraId="3B9A543B"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Rawnak, A., 2020. Exploring work-life balance practices in the United Kingdom and Italy.</w:t>
      </w:r>
    </w:p>
    <w:p w14:paraId="2A9E24DD" w14:textId="77777777" w:rsidR="00227727" w:rsidRPr="00227727" w:rsidRDefault="00227727" w:rsidP="00227727">
      <w:pPr>
        <w:spacing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t xml:space="preserve">Reyes, M. Z. (2004). </w:t>
      </w:r>
      <w:r w:rsidRPr="00227727">
        <w:rPr>
          <w:rFonts w:ascii="Arial" w:hAnsi="Arial" w:cs="Arial"/>
          <w:i/>
          <w:iCs/>
          <w:color w:val="000000" w:themeColor="text1"/>
          <w:sz w:val="24"/>
          <w:szCs w:val="24"/>
          <w:shd w:val="clear" w:color="auto" w:fill="FFFFFF"/>
        </w:rPr>
        <w:t>Social research: A deductive approach.</w:t>
      </w:r>
      <w:r w:rsidRPr="00227727">
        <w:rPr>
          <w:rFonts w:ascii="Arial" w:hAnsi="Arial" w:cs="Arial"/>
          <w:color w:val="000000" w:themeColor="text1"/>
          <w:sz w:val="24"/>
          <w:szCs w:val="24"/>
          <w:shd w:val="clear" w:color="auto" w:fill="FFFFFF"/>
        </w:rPr>
        <w:t xml:space="preserve"> Rex Bookstore, Inc.</w:t>
      </w:r>
    </w:p>
    <w:p w14:paraId="0FF90C6D"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Russell, E. and Grant, C., 2020. Introduction to Agile Working and Well-Being in the Digital Age. In Agile working and well-being in the digital age (pp. 3-17). Palgrave Macmillan, Cham.</w:t>
      </w:r>
    </w:p>
    <w:p w14:paraId="605E78C7"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Ryan, R M, &amp; Deci, E. L. (2000). Self-determination theory and the facilitation of intrinsic motivation, social development, and well-being. The American Psychologist, 55(1), 68–78. Retrieved from http://www.ncbi.nlm.nih.gov/pubmed/11392867</w:t>
      </w:r>
    </w:p>
    <w:p w14:paraId="234C5990"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Sabuhari, R., Sudiro, A., Irawanto, D. W., &amp; Rahayu, M. (2020). The effects of human resource flexibility, employee competency, and organizational culture adaptation on employee performance. </w:t>
      </w:r>
      <w:r w:rsidRPr="00227727">
        <w:rPr>
          <w:rStyle w:val="Emphasis"/>
          <w:rFonts w:ascii="Arial" w:hAnsi="Arial" w:cs="Arial"/>
          <w:sz w:val="24"/>
          <w:szCs w:val="24"/>
        </w:rPr>
        <w:t>Management Science Letters, 10</w:t>
      </w:r>
      <w:r w:rsidRPr="00227727">
        <w:rPr>
          <w:rFonts w:ascii="Arial" w:hAnsi="Arial" w:cs="Arial"/>
          <w:sz w:val="24"/>
          <w:szCs w:val="24"/>
        </w:rPr>
        <w:t xml:space="preserve">(8), 1777–1786. </w:t>
      </w:r>
      <w:hyperlink r:id="rId26" w:tgtFrame="_new" w:history="1">
        <w:r w:rsidRPr="00227727">
          <w:rPr>
            <w:rStyle w:val="Hyperlink"/>
            <w:rFonts w:ascii="Arial" w:hAnsi="Arial" w:cs="Arial"/>
            <w:sz w:val="24"/>
            <w:szCs w:val="24"/>
          </w:rPr>
          <w:t>https://doi.org/10.5267/j.msl.2020.1.001</w:t>
        </w:r>
      </w:hyperlink>
    </w:p>
    <w:p w14:paraId="4314B909"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Salas-Vallina, A., Pozo-Hidalgo, M. and Gil-Monte, P.R., 2020. Are Happy Workers More Productive? The Mediating Role of Service-Skill Use. Frontiers in psychology, 11, p.456. doi: https://doi.org/10.3389/fpsyg.2020.00456</w:t>
      </w:r>
    </w:p>
    <w:p w14:paraId="0D0B724D"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Sarbin, T. R. (Ed.). (1986). </w:t>
      </w:r>
      <w:r w:rsidRPr="00227727">
        <w:rPr>
          <w:rStyle w:val="Emphasis"/>
          <w:rFonts w:ascii="Arial" w:eastAsiaTheme="majorEastAsia" w:hAnsi="Arial" w:cs="Arial"/>
          <w:lang w:val="en-GB"/>
        </w:rPr>
        <w:t>Narrative psychology: The storied nature of human conduct.</w:t>
      </w:r>
      <w:r w:rsidRPr="00227727">
        <w:rPr>
          <w:rFonts w:ascii="Arial" w:hAnsi="Arial" w:cs="Arial"/>
          <w:lang w:val="en-GB"/>
        </w:rPr>
        <w:t xml:space="preserve"> Praeger.</w:t>
      </w:r>
    </w:p>
    <w:p w14:paraId="0B2CBA4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Saridakis, G., Georgellis, Y., Benson, V., Garcia, S., Johnstone, S., &amp; Lai, Y. (2023). Guest editorial: Work from home (WFH), employee productivity and wellbeing: lessons from COVID-19 and future implications. </w:t>
      </w:r>
      <w:r w:rsidRPr="00227727">
        <w:rPr>
          <w:rFonts w:ascii="Arial" w:hAnsi="Arial" w:cs="Arial"/>
          <w:i/>
          <w:iCs/>
          <w:sz w:val="24"/>
          <w:szCs w:val="24"/>
        </w:rPr>
        <w:t>Information Technology &amp; People</w:t>
      </w:r>
      <w:r w:rsidRPr="00227727">
        <w:rPr>
          <w:rFonts w:ascii="Arial" w:hAnsi="Arial" w:cs="Arial"/>
          <w:sz w:val="24"/>
          <w:szCs w:val="24"/>
        </w:rPr>
        <w:t>, </w:t>
      </w:r>
      <w:r w:rsidRPr="00227727">
        <w:rPr>
          <w:rFonts w:ascii="Arial" w:hAnsi="Arial" w:cs="Arial"/>
          <w:i/>
          <w:iCs/>
          <w:sz w:val="24"/>
          <w:szCs w:val="24"/>
        </w:rPr>
        <w:t>36</w:t>
      </w:r>
      <w:r w:rsidRPr="00227727">
        <w:rPr>
          <w:rFonts w:ascii="Arial" w:hAnsi="Arial" w:cs="Arial"/>
          <w:sz w:val="24"/>
          <w:szCs w:val="24"/>
        </w:rPr>
        <w:t>(5), 1757-1765.</w:t>
      </w:r>
    </w:p>
    <w:p w14:paraId="4DF237FD"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lastRenderedPageBreak/>
        <w:t>Sarstedt, M., Ringle, C. M., &amp; Hair, J. F. (2017). Partial least squares structural equation modeling. In C. Homburg, M. Klarmann, &amp; A. Vomberg (Eds.), Handbook of market research (pp. 1–40). Springer. https://doi.org/10.1007/978-3-319-05542-8_15-1</w:t>
      </w:r>
    </w:p>
    <w:p w14:paraId="605ABFB9"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Sarstedt, M., Ringle, C. M., Smith, D., Reams, R., &amp; Hair, J. F. (2020). Partial least squares structural equation modeling (PLS-SEM): A useful tool for family business researchers. </w:t>
      </w:r>
      <w:r w:rsidRPr="00227727">
        <w:rPr>
          <w:rStyle w:val="Emphasis"/>
          <w:rFonts w:ascii="Arial" w:hAnsi="Arial" w:cs="Arial"/>
          <w:sz w:val="24"/>
          <w:szCs w:val="24"/>
        </w:rPr>
        <w:t>Journal of Family Business Strategy, 11</w:t>
      </w:r>
      <w:r w:rsidRPr="00227727">
        <w:rPr>
          <w:rFonts w:ascii="Arial" w:hAnsi="Arial" w:cs="Arial"/>
          <w:sz w:val="24"/>
          <w:szCs w:val="24"/>
        </w:rPr>
        <w:t xml:space="preserve">(3), 100–118. </w:t>
      </w:r>
      <w:hyperlink r:id="rId27" w:tgtFrame="_new" w:history="1">
        <w:r w:rsidRPr="00227727">
          <w:rPr>
            <w:rStyle w:val="Hyperlink"/>
            <w:rFonts w:ascii="Arial" w:hAnsi="Arial" w:cs="Arial"/>
            <w:sz w:val="24"/>
            <w:szCs w:val="24"/>
          </w:rPr>
          <w:t>https://doi.org/10.1016/j.jfbs.2020.100358</w:t>
        </w:r>
      </w:hyperlink>
    </w:p>
    <w:p w14:paraId="1479FBBE"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Saunders, M., Lewis, P. and Thornhill, A. (2016). Research methods for business students. 7th ed. Pearson, p.26-315.</w:t>
      </w:r>
    </w:p>
    <w:p w14:paraId="26BB7234"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Saunders, M., Lewis, P., &amp; Thornhill, A. (2009). </w:t>
      </w:r>
      <w:r w:rsidRPr="00227727">
        <w:rPr>
          <w:rStyle w:val="Emphasis"/>
          <w:rFonts w:ascii="Arial" w:eastAsiaTheme="majorEastAsia" w:hAnsi="Arial" w:cs="Arial"/>
          <w:lang w:val="en-GB"/>
        </w:rPr>
        <w:t>Research methods for business students</w:t>
      </w:r>
      <w:r w:rsidRPr="00227727">
        <w:rPr>
          <w:rFonts w:ascii="Arial" w:hAnsi="Arial" w:cs="Arial"/>
          <w:lang w:val="en-GB"/>
        </w:rPr>
        <w:t xml:space="preserve"> (5th ed.). Pearson Education Limited.</w:t>
      </w:r>
    </w:p>
    <w:p w14:paraId="001907FE" w14:textId="77777777" w:rsidR="00227727" w:rsidRPr="00227727" w:rsidRDefault="00227727" w:rsidP="00227727">
      <w:pPr>
        <w:spacing w:after="0"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t>Scarlett, L., &amp; Boyd, J. (2015). Ecosystem services and resource management: institutional issues, challenges, and opportunities in the public sector. </w:t>
      </w:r>
      <w:r w:rsidRPr="00227727">
        <w:rPr>
          <w:rFonts w:ascii="Arial" w:hAnsi="Arial" w:cs="Arial"/>
          <w:i/>
          <w:iCs/>
          <w:color w:val="000000" w:themeColor="text1"/>
          <w:sz w:val="24"/>
          <w:szCs w:val="24"/>
          <w:shd w:val="clear" w:color="auto" w:fill="FFFFFF"/>
        </w:rPr>
        <w:t>Ecological Economics</w:t>
      </w:r>
      <w:r w:rsidRPr="00227727">
        <w:rPr>
          <w:rFonts w:ascii="Arial" w:hAnsi="Arial" w:cs="Arial"/>
          <w:color w:val="000000" w:themeColor="text1"/>
          <w:sz w:val="24"/>
          <w:szCs w:val="24"/>
          <w:shd w:val="clear" w:color="auto" w:fill="FFFFFF"/>
        </w:rPr>
        <w:t>, </w:t>
      </w:r>
      <w:r w:rsidRPr="00227727">
        <w:rPr>
          <w:rFonts w:ascii="Arial" w:hAnsi="Arial" w:cs="Arial"/>
          <w:i/>
          <w:iCs/>
          <w:color w:val="000000" w:themeColor="text1"/>
          <w:sz w:val="24"/>
          <w:szCs w:val="24"/>
          <w:shd w:val="clear" w:color="auto" w:fill="FFFFFF"/>
        </w:rPr>
        <w:t>115</w:t>
      </w:r>
      <w:r w:rsidRPr="00227727">
        <w:rPr>
          <w:rFonts w:ascii="Arial" w:hAnsi="Arial" w:cs="Arial"/>
          <w:color w:val="000000" w:themeColor="text1"/>
          <w:sz w:val="24"/>
          <w:szCs w:val="24"/>
          <w:shd w:val="clear" w:color="auto" w:fill="FFFFFF"/>
        </w:rPr>
        <w:t>, 3-10.</w:t>
      </w:r>
    </w:p>
    <w:p w14:paraId="5B54393E"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Schaufeli, W. B., &amp; Taris, T. W. (2014). A critical review of the Job Demands-Resources Model: Implications for improving work and health. </w:t>
      </w:r>
      <w:r w:rsidRPr="00227727">
        <w:rPr>
          <w:rFonts w:ascii="Arial" w:hAnsi="Arial" w:cs="Arial"/>
          <w:i/>
          <w:iCs/>
          <w:sz w:val="24"/>
          <w:szCs w:val="24"/>
        </w:rPr>
        <w:t>Bridging Occupational, Organizational and Public Health</w:t>
      </w:r>
      <w:r w:rsidRPr="00227727">
        <w:rPr>
          <w:rFonts w:ascii="Arial" w:hAnsi="Arial" w:cs="Arial"/>
          <w:sz w:val="24"/>
          <w:szCs w:val="24"/>
        </w:rPr>
        <w:t>, 43–68.</w:t>
      </w:r>
    </w:p>
    <w:p w14:paraId="4924F28A"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Schermelleh-Engel, K., Moosbrugger, H., &amp; Müller, H. (2003). Evaluating the fit of structural equation models: Tests of significance and descriptive goodness-of-fit measures. Methods of psychological research online, 8(2), 23-74.</w:t>
      </w:r>
    </w:p>
    <w:p w14:paraId="297978A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Seaton, E. K., Caldwell, C. H., Sellers, R. M., &amp; Jackson, J. S. (2010). An intersectional approach for understanding perceived discrimination and psychological well-being among African American and Caribbean Black youth. </w:t>
      </w:r>
      <w:r w:rsidRPr="00227727">
        <w:rPr>
          <w:rStyle w:val="Emphasis"/>
          <w:rFonts w:ascii="Arial" w:hAnsi="Arial" w:cs="Arial"/>
          <w:sz w:val="24"/>
          <w:szCs w:val="24"/>
        </w:rPr>
        <w:t>Developmental Psychology, 46</w:t>
      </w:r>
      <w:r w:rsidRPr="00227727">
        <w:rPr>
          <w:rFonts w:ascii="Arial" w:hAnsi="Arial" w:cs="Arial"/>
          <w:sz w:val="24"/>
          <w:szCs w:val="24"/>
        </w:rPr>
        <w:t>, 1372–1379. https://doi.org/10.1037/a0019869</w:t>
      </w:r>
    </w:p>
    <w:p w14:paraId="3416039F" w14:textId="77777777" w:rsidR="00227727" w:rsidRPr="00227727" w:rsidRDefault="00227727" w:rsidP="00227727">
      <w:pPr>
        <w:spacing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Sedgwick, P. (2014). Cross sectional studies: advantages and disadvantages. </w:t>
      </w:r>
      <w:r w:rsidRPr="00227727">
        <w:rPr>
          <w:rFonts w:ascii="Arial" w:hAnsi="Arial" w:cs="Arial"/>
          <w:i/>
          <w:iCs/>
          <w:color w:val="000000" w:themeColor="text1"/>
          <w:sz w:val="24"/>
          <w:szCs w:val="24"/>
        </w:rPr>
        <w:t>Bmj</w:t>
      </w:r>
      <w:r w:rsidRPr="00227727">
        <w:rPr>
          <w:rFonts w:ascii="Arial" w:hAnsi="Arial" w:cs="Arial"/>
          <w:color w:val="000000" w:themeColor="text1"/>
          <w:sz w:val="24"/>
          <w:szCs w:val="24"/>
        </w:rPr>
        <w:t>.</w:t>
      </w:r>
    </w:p>
    <w:p w14:paraId="4B95AEA5"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Seliger, H. W. (1989). </w:t>
      </w:r>
      <w:r w:rsidRPr="00227727">
        <w:rPr>
          <w:rStyle w:val="Emphasis"/>
          <w:rFonts w:ascii="Arial" w:eastAsiaTheme="majorEastAsia" w:hAnsi="Arial" w:cs="Arial"/>
          <w:lang w:val="en-GB"/>
        </w:rPr>
        <w:t>Second language research methods.</w:t>
      </w:r>
      <w:r w:rsidRPr="00227727">
        <w:rPr>
          <w:rFonts w:ascii="Arial" w:hAnsi="Arial" w:cs="Arial"/>
          <w:lang w:val="en-GB"/>
        </w:rPr>
        <w:t xml:space="preserve"> Oxford University Press.</w:t>
      </w:r>
    </w:p>
    <w:p w14:paraId="4859DF8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Shamaileh, N. A., Eldahamsheh, M. M., Alneimat, S., Azzam, I. A., &amp; Shelash Al-Hawary, S. I. (2023). The effects of smart human resources 4.0 on employee job effectiveness: The mediating role of employee job satisfaction. </w:t>
      </w:r>
      <w:r w:rsidRPr="00227727">
        <w:rPr>
          <w:rFonts w:ascii="Arial" w:hAnsi="Arial" w:cs="Arial"/>
          <w:i/>
          <w:iCs/>
          <w:sz w:val="24"/>
          <w:szCs w:val="24"/>
        </w:rPr>
        <w:t>International Journal of Data &amp; Network Science</w:t>
      </w:r>
      <w:r w:rsidRPr="00227727">
        <w:rPr>
          <w:rFonts w:ascii="Arial" w:hAnsi="Arial" w:cs="Arial"/>
          <w:sz w:val="24"/>
          <w:szCs w:val="24"/>
        </w:rPr>
        <w:t>, </w:t>
      </w:r>
      <w:r w:rsidRPr="00227727">
        <w:rPr>
          <w:rFonts w:ascii="Arial" w:hAnsi="Arial" w:cs="Arial"/>
          <w:i/>
          <w:iCs/>
          <w:sz w:val="24"/>
          <w:szCs w:val="24"/>
        </w:rPr>
        <w:t>7</w:t>
      </w:r>
      <w:r w:rsidRPr="00227727">
        <w:rPr>
          <w:rFonts w:ascii="Arial" w:hAnsi="Arial" w:cs="Arial"/>
          <w:sz w:val="24"/>
          <w:szCs w:val="24"/>
        </w:rPr>
        <w:t>(2).</w:t>
      </w:r>
    </w:p>
    <w:p w14:paraId="3AE069D3"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Sharafizad, J., &amp; Redmond, J. (2020). Discretionary effort of higher education sector employees: Motivators and inhibitors. </w:t>
      </w:r>
      <w:r w:rsidRPr="00227727">
        <w:rPr>
          <w:rStyle w:val="Emphasis"/>
          <w:rFonts w:ascii="Arial" w:eastAsiaTheme="majorEastAsia" w:hAnsi="Arial" w:cs="Arial"/>
          <w:lang w:val="en-GB"/>
        </w:rPr>
        <w:t>Studies in Higher Education, 45</w:t>
      </w:r>
      <w:r w:rsidRPr="00227727">
        <w:rPr>
          <w:rFonts w:ascii="Arial" w:hAnsi="Arial" w:cs="Arial"/>
          <w:lang w:val="en-GB"/>
        </w:rPr>
        <w:t xml:space="preserve">(6), 1261–1279. </w:t>
      </w:r>
      <w:hyperlink r:id="rId28" w:tgtFrame="_new" w:history="1">
        <w:r w:rsidRPr="00227727">
          <w:rPr>
            <w:rStyle w:val="Hyperlink"/>
            <w:rFonts w:ascii="Arial" w:eastAsiaTheme="majorEastAsia" w:hAnsi="Arial" w:cs="Arial"/>
            <w:lang w:val="en-GB"/>
          </w:rPr>
          <w:t>https://doi.org/10.1080/03075079.2019.1628200</w:t>
        </w:r>
      </w:hyperlink>
    </w:p>
    <w:p w14:paraId="4E489732" w14:textId="77777777" w:rsidR="00227727" w:rsidRPr="00227727" w:rsidRDefault="00227727" w:rsidP="00227727">
      <w:pPr>
        <w:spacing w:after="0"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t xml:space="preserve">Shirowzhan, S., Tan, W. and Sepasgozar, S.M., 2020. Digital twin and CyberGIS for improving connectivity and measuring the impact of infrastructure construction planning in smart cities.  </w:t>
      </w:r>
    </w:p>
    <w:p w14:paraId="51DD474F" w14:textId="77777777" w:rsidR="00227727" w:rsidRPr="00227727" w:rsidRDefault="00227727" w:rsidP="00227727">
      <w:pPr>
        <w:spacing w:after="0" w:line="360" w:lineRule="auto"/>
        <w:ind w:left="720" w:hanging="720"/>
        <w:jc w:val="both"/>
        <w:rPr>
          <w:rFonts w:ascii="Arial" w:hAnsi="Arial" w:cs="Arial"/>
          <w:sz w:val="24"/>
          <w:szCs w:val="24"/>
        </w:rPr>
      </w:pPr>
      <w:r w:rsidRPr="00227727">
        <w:rPr>
          <w:rFonts w:ascii="Arial" w:hAnsi="Arial" w:cs="Arial"/>
          <w:sz w:val="24"/>
          <w:szCs w:val="24"/>
        </w:rPr>
        <w:t>Shmueli, G., Ray, S., Estrada, J. M. V., &amp; Chatla, S. B. (2016). The elephant in the room: Predictive performance of PLS models. Journal of business Research, 69(10), 4552-4564.</w:t>
      </w:r>
    </w:p>
    <w:p w14:paraId="31057BFD" w14:textId="77777777" w:rsidR="00227727" w:rsidRPr="00227727" w:rsidRDefault="00227727" w:rsidP="00227727">
      <w:pPr>
        <w:pStyle w:val="NormalWeb"/>
        <w:spacing w:before="0" w:beforeAutospacing="0" w:after="0" w:afterAutospacing="0" w:line="360" w:lineRule="auto"/>
        <w:ind w:left="720" w:hanging="720"/>
        <w:jc w:val="both"/>
        <w:rPr>
          <w:rFonts w:ascii="Arial" w:hAnsi="Arial" w:cs="Arial"/>
          <w:lang w:val="en-GB"/>
        </w:rPr>
      </w:pPr>
      <w:r w:rsidRPr="00227727">
        <w:rPr>
          <w:rFonts w:ascii="Arial" w:hAnsi="Arial" w:cs="Arial"/>
          <w:lang w:val="en-GB"/>
        </w:rPr>
        <w:t xml:space="preserve">Silverman, D. (Ed.). (2016). </w:t>
      </w:r>
      <w:r w:rsidRPr="00227727">
        <w:rPr>
          <w:rStyle w:val="Emphasis"/>
          <w:rFonts w:ascii="Arial" w:eastAsiaTheme="majorEastAsia" w:hAnsi="Arial" w:cs="Arial"/>
          <w:lang w:val="en-GB"/>
        </w:rPr>
        <w:t>Qualitative research</w:t>
      </w:r>
      <w:r w:rsidRPr="00227727">
        <w:rPr>
          <w:rFonts w:ascii="Arial" w:hAnsi="Arial" w:cs="Arial"/>
          <w:lang w:val="en-GB"/>
        </w:rPr>
        <w:t>. Sage Publications.</w:t>
      </w:r>
    </w:p>
    <w:p w14:paraId="3A726E0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lastRenderedPageBreak/>
        <w:t>Singh, S. K., Pradhan, R. K., Panigrahy, N. P., &amp; Jena, L. K. (2019). Self-efficacy and workplace well-being: moderating role of sustainability practices. </w:t>
      </w:r>
      <w:r w:rsidRPr="00227727">
        <w:rPr>
          <w:rFonts w:ascii="Arial" w:hAnsi="Arial" w:cs="Arial"/>
          <w:i/>
          <w:iCs/>
          <w:sz w:val="24"/>
          <w:szCs w:val="24"/>
        </w:rPr>
        <w:t>Benchmarking: An International Journal</w:t>
      </w:r>
      <w:r w:rsidRPr="00227727">
        <w:rPr>
          <w:rFonts w:ascii="Arial" w:hAnsi="Arial" w:cs="Arial"/>
          <w:sz w:val="24"/>
          <w:szCs w:val="24"/>
        </w:rPr>
        <w:t>, </w:t>
      </w:r>
      <w:r w:rsidRPr="00227727">
        <w:rPr>
          <w:rFonts w:ascii="Arial" w:hAnsi="Arial" w:cs="Arial"/>
          <w:i/>
          <w:iCs/>
          <w:sz w:val="24"/>
          <w:szCs w:val="24"/>
        </w:rPr>
        <w:t>26</w:t>
      </w:r>
      <w:r w:rsidRPr="00227727">
        <w:rPr>
          <w:rFonts w:ascii="Arial" w:hAnsi="Arial" w:cs="Arial"/>
          <w:sz w:val="24"/>
          <w:szCs w:val="24"/>
        </w:rPr>
        <w:t>(6), 1692-1708.</w:t>
      </w:r>
    </w:p>
    <w:p w14:paraId="52F3E992" w14:textId="77777777" w:rsidR="00227727" w:rsidRPr="00227727" w:rsidRDefault="00227727" w:rsidP="00227727">
      <w:pPr>
        <w:spacing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Stamenova, A. 2021. ‘</w:t>
      </w:r>
      <w:r w:rsidRPr="00227727">
        <w:rPr>
          <w:rFonts w:ascii="Arial" w:hAnsi="Arial" w:cs="Arial"/>
          <w:i/>
          <w:iCs/>
          <w:color w:val="000000" w:themeColor="text1"/>
          <w:sz w:val="24"/>
          <w:szCs w:val="24"/>
        </w:rPr>
        <w:t xml:space="preserve">Smart Working: The Agility and Flexibility Enterprises Need’. </w:t>
      </w:r>
      <w:r w:rsidRPr="00227727">
        <w:rPr>
          <w:rFonts w:ascii="Arial" w:hAnsi="Arial" w:cs="Arial"/>
          <w:color w:val="000000" w:themeColor="text1"/>
          <w:sz w:val="24"/>
          <w:szCs w:val="24"/>
        </w:rPr>
        <w:t>[online] Accessed 27</w:t>
      </w:r>
      <w:r w:rsidRPr="00227727">
        <w:rPr>
          <w:rFonts w:ascii="Arial" w:hAnsi="Arial" w:cs="Arial"/>
          <w:color w:val="000000" w:themeColor="text1"/>
          <w:sz w:val="24"/>
          <w:szCs w:val="24"/>
          <w:vertAlign w:val="superscript"/>
        </w:rPr>
        <w:t>th</w:t>
      </w:r>
      <w:r w:rsidRPr="00227727">
        <w:rPr>
          <w:rFonts w:ascii="Arial" w:hAnsi="Arial" w:cs="Arial"/>
          <w:color w:val="000000" w:themeColor="text1"/>
          <w:sz w:val="24"/>
          <w:szCs w:val="24"/>
        </w:rPr>
        <w:t xml:space="preserve"> August 2021, &lt;https://www.lumapps.com/blog/digital-workplace/smart-working-definition-benefits-tools/&gt; </w:t>
      </w:r>
    </w:p>
    <w:p w14:paraId="72545682"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Stary, C. (2022). </w:t>
      </w:r>
      <w:r w:rsidRPr="00227727">
        <w:rPr>
          <w:rFonts w:ascii="Arial" w:eastAsia="Times New Roman" w:hAnsi="Arial" w:cs="Arial"/>
          <w:i/>
          <w:iCs/>
          <w:color w:val="0E101A"/>
          <w:sz w:val="24"/>
          <w:szCs w:val="24"/>
        </w:rPr>
        <w:t>Self-Determination Theory in Cyber-Physical Settings</w:t>
      </w:r>
      <w:r w:rsidRPr="00227727">
        <w:rPr>
          <w:rFonts w:ascii="Arial" w:eastAsia="Times New Roman" w:hAnsi="Arial" w:cs="Arial"/>
          <w:color w:val="0E101A"/>
          <w:sz w:val="24"/>
          <w:szCs w:val="24"/>
        </w:rPr>
        <w:t>. Journal of Privacy Management, 14, 900-910. https://doi.org/10.3390/su14020900.</w:t>
      </w:r>
    </w:p>
    <w:p w14:paraId="2887BC94" w14:textId="77777777" w:rsidR="00227727" w:rsidRPr="00227727" w:rsidRDefault="00227727" w:rsidP="00227727">
      <w:pPr>
        <w:pStyle w:val="NoSpacing"/>
        <w:spacing w:line="360" w:lineRule="auto"/>
        <w:ind w:left="720" w:hanging="720"/>
        <w:jc w:val="both"/>
        <w:rPr>
          <w:rFonts w:ascii="Arial" w:hAnsi="Arial" w:cs="Arial"/>
          <w:color w:val="222222"/>
          <w:sz w:val="24"/>
          <w:szCs w:val="24"/>
          <w:shd w:val="clear" w:color="auto" w:fill="FFFFFF"/>
        </w:rPr>
      </w:pPr>
      <w:r w:rsidRPr="00227727">
        <w:rPr>
          <w:rFonts w:ascii="Arial" w:hAnsi="Arial" w:cs="Arial"/>
          <w:color w:val="222222"/>
          <w:sz w:val="24"/>
          <w:szCs w:val="24"/>
          <w:shd w:val="clear" w:color="auto" w:fill="FFFFFF"/>
        </w:rPr>
        <w:t>Steyn, R., &amp; De Bruin, G. (2018). Investigating the validity of the Human Resource Practices Scale in South Africa: Measurement invariance across gender. </w:t>
      </w:r>
      <w:r w:rsidRPr="00227727">
        <w:rPr>
          <w:rFonts w:ascii="Arial" w:hAnsi="Arial" w:cs="Arial"/>
          <w:i/>
          <w:iCs/>
          <w:color w:val="222222"/>
          <w:sz w:val="24"/>
          <w:szCs w:val="24"/>
          <w:shd w:val="clear" w:color="auto" w:fill="FFFFFF"/>
        </w:rPr>
        <w:t>SA Journal of Human Resource Management</w:t>
      </w:r>
      <w:r w:rsidRPr="00227727">
        <w:rPr>
          <w:rFonts w:ascii="Arial" w:hAnsi="Arial" w:cs="Arial"/>
          <w:color w:val="222222"/>
          <w:sz w:val="24"/>
          <w:szCs w:val="24"/>
          <w:shd w:val="clear" w:color="auto" w:fill="FFFFFF"/>
        </w:rPr>
        <w:t>, </w:t>
      </w:r>
      <w:r w:rsidRPr="00227727">
        <w:rPr>
          <w:rFonts w:ascii="Arial" w:hAnsi="Arial" w:cs="Arial"/>
          <w:i/>
          <w:iCs/>
          <w:color w:val="222222"/>
          <w:sz w:val="24"/>
          <w:szCs w:val="24"/>
          <w:shd w:val="clear" w:color="auto" w:fill="FFFFFF"/>
        </w:rPr>
        <w:t>16</w:t>
      </w:r>
      <w:r w:rsidRPr="00227727">
        <w:rPr>
          <w:rFonts w:ascii="Arial" w:hAnsi="Arial" w:cs="Arial"/>
          <w:color w:val="222222"/>
          <w:sz w:val="24"/>
          <w:szCs w:val="24"/>
          <w:shd w:val="clear" w:color="auto" w:fill="FFFFFF"/>
        </w:rPr>
        <w:t>(1), 1-10.</w:t>
      </w:r>
    </w:p>
    <w:p w14:paraId="7A5A3D4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Stone, M., &amp; Aravopoulou, E. (2017). Improving Journeys by Opening Data: A Case Study from Transport for London (TfL). </w:t>
      </w:r>
      <w:r w:rsidRPr="00227727">
        <w:rPr>
          <w:rStyle w:val="Emphasis"/>
          <w:rFonts w:ascii="Arial" w:hAnsi="Arial" w:cs="Arial"/>
          <w:color w:val="0E101A"/>
          <w:sz w:val="24"/>
          <w:szCs w:val="24"/>
        </w:rPr>
        <w:t>Journal of Strategic Marketing, 25</w:t>
      </w:r>
      <w:r w:rsidRPr="00227727">
        <w:rPr>
          <w:rFonts w:ascii="Arial" w:hAnsi="Arial" w:cs="Arial"/>
          <w:sz w:val="24"/>
          <w:szCs w:val="24"/>
        </w:rPr>
        <w:t>(5-6), 442-460. https://doi.org/10.1080/0965254X.2017.1296844</w:t>
      </w:r>
    </w:p>
    <w:p w14:paraId="72ED9984"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Suzianti, A., &amp; Puspasari, M. A. (2022). An integrated job-demand-resources and conservation of resources model: Examining workers' productivity in the financial service sector. </w:t>
      </w:r>
      <w:r w:rsidRPr="00227727">
        <w:rPr>
          <w:rFonts w:ascii="Arial" w:eastAsia="Times New Roman" w:hAnsi="Arial" w:cs="Arial"/>
          <w:i/>
          <w:iCs/>
          <w:color w:val="0E101A"/>
          <w:sz w:val="24"/>
          <w:szCs w:val="24"/>
        </w:rPr>
        <w:t>Conference Proceedings</w:t>
      </w:r>
      <w:r w:rsidRPr="00227727">
        <w:rPr>
          <w:rFonts w:ascii="Arial" w:eastAsia="Times New Roman" w:hAnsi="Arial" w:cs="Arial"/>
          <w:color w:val="0E101A"/>
          <w:sz w:val="24"/>
          <w:szCs w:val="24"/>
        </w:rPr>
        <w:t>. https://doi.org/10.1145/3468013.3468635.</w:t>
      </w:r>
    </w:p>
    <w:p w14:paraId="20275D2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Tabachnick, B. G., &amp; Fidell, L. S. (2019). </w:t>
      </w:r>
      <w:r w:rsidRPr="00227727">
        <w:rPr>
          <w:rStyle w:val="Emphasis"/>
          <w:rFonts w:ascii="Arial" w:hAnsi="Arial" w:cs="Arial"/>
          <w:sz w:val="24"/>
          <w:szCs w:val="24"/>
        </w:rPr>
        <w:t>Using multivariate statistics</w:t>
      </w:r>
      <w:r w:rsidRPr="00227727">
        <w:rPr>
          <w:rFonts w:ascii="Arial" w:hAnsi="Arial" w:cs="Arial"/>
          <w:sz w:val="24"/>
          <w:szCs w:val="24"/>
        </w:rPr>
        <w:t xml:space="preserve"> (7th ed.). Pearson.</w:t>
      </w:r>
    </w:p>
    <w:p w14:paraId="212D994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Tabachnick, B. G., &amp; Fidell, L. S. (2019). </w:t>
      </w:r>
      <w:r w:rsidRPr="00227727">
        <w:rPr>
          <w:rStyle w:val="Emphasis"/>
          <w:rFonts w:ascii="Arial" w:hAnsi="Arial" w:cs="Arial"/>
          <w:sz w:val="24"/>
          <w:szCs w:val="24"/>
        </w:rPr>
        <w:t>Using multivariate statistics</w:t>
      </w:r>
      <w:r w:rsidRPr="00227727">
        <w:rPr>
          <w:rFonts w:ascii="Arial" w:hAnsi="Arial" w:cs="Arial"/>
          <w:sz w:val="24"/>
          <w:szCs w:val="24"/>
        </w:rPr>
        <w:t xml:space="preserve"> (7th ed.). Pearson.</w:t>
      </w:r>
    </w:p>
    <w:p w14:paraId="6D5E192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Todisco, L., Tomo, A., Canonico, P., &amp; Mangia, G. (2023). The bright and dark side of smart working in the public sector: employees' experiences before and during COVID-19. </w:t>
      </w:r>
      <w:r w:rsidRPr="00227727">
        <w:rPr>
          <w:rFonts w:ascii="Arial" w:hAnsi="Arial" w:cs="Arial"/>
          <w:i/>
          <w:iCs/>
          <w:sz w:val="24"/>
          <w:szCs w:val="24"/>
        </w:rPr>
        <w:t>Management Decision</w:t>
      </w:r>
      <w:r w:rsidRPr="00227727">
        <w:rPr>
          <w:rFonts w:ascii="Arial" w:hAnsi="Arial" w:cs="Arial"/>
          <w:sz w:val="24"/>
          <w:szCs w:val="24"/>
        </w:rPr>
        <w:t>, </w:t>
      </w:r>
      <w:r w:rsidRPr="00227727">
        <w:rPr>
          <w:rFonts w:ascii="Arial" w:hAnsi="Arial" w:cs="Arial"/>
          <w:i/>
          <w:iCs/>
          <w:sz w:val="24"/>
          <w:szCs w:val="24"/>
        </w:rPr>
        <w:t>61</w:t>
      </w:r>
      <w:r w:rsidRPr="00227727">
        <w:rPr>
          <w:rFonts w:ascii="Arial" w:hAnsi="Arial" w:cs="Arial"/>
          <w:sz w:val="24"/>
          <w:szCs w:val="24"/>
        </w:rPr>
        <w:t>(13), 85-102.</w:t>
      </w:r>
    </w:p>
    <w:p w14:paraId="4DF7B746"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Torre, T. and Sarti, D., 2019. Themes and Trends in Smart Working Research: A Systematic Analysis of Academic Contributions. In HRM 4.0 For Human-Centered Organizations. Emerald Publishing Limited.</w:t>
      </w:r>
    </w:p>
    <w:p w14:paraId="333EC4A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Toscano, F., &amp; Zappalà, S. (2020). Social isolation and stress as predictors of productivity perception and remote work satisfaction during the COVID-19 pandemic: The role of concern about the virus in a moderated double mediation. </w:t>
      </w:r>
      <w:r w:rsidRPr="00227727">
        <w:rPr>
          <w:rFonts w:ascii="Arial" w:hAnsi="Arial" w:cs="Arial"/>
          <w:i/>
          <w:iCs/>
          <w:sz w:val="24"/>
          <w:szCs w:val="24"/>
        </w:rPr>
        <w:t>Sustainability</w:t>
      </w:r>
      <w:r w:rsidRPr="00227727">
        <w:rPr>
          <w:rFonts w:ascii="Arial" w:hAnsi="Arial" w:cs="Arial"/>
          <w:sz w:val="24"/>
          <w:szCs w:val="24"/>
        </w:rPr>
        <w:t>, </w:t>
      </w:r>
      <w:r w:rsidRPr="00227727">
        <w:rPr>
          <w:rFonts w:ascii="Arial" w:hAnsi="Arial" w:cs="Arial"/>
          <w:i/>
          <w:iCs/>
          <w:sz w:val="24"/>
          <w:szCs w:val="24"/>
        </w:rPr>
        <w:t>12</w:t>
      </w:r>
      <w:r w:rsidRPr="00227727">
        <w:rPr>
          <w:rFonts w:ascii="Arial" w:hAnsi="Arial" w:cs="Arial"/>
          <w:sz w:val="24"/>
          <w:szCs w:val="24"/>
        </w:rPr>
        <w:t>(23), 9804.</w:t>
      </w:r>
    </w:p>
    <w:p w14:paraId="0A0A4A47"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Totterdill, P., Dhondt, S. and Devons, N., 2016. The case for workplace innovation. Brussels: European Workplace Innovation Network (Euwin).</w:t>
      </w:r>
    </w:p>
    <w:p w14:paraId="47D04DF3"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Tripathi, M. A., et al. (2022). </w:t>
      </w:r>
      <w:r w:rsidRPr="00227727">
        <w:rPr>
          <w:rFonts w:ascii="Arial" w:eastAsia="Times New Roman" w:hAnsi="Arial" w:cs="Arial"/>
          <w:i/>
          <w:iCs/>
          <w:color w:val="0E101A"/>
          <w:sz w:val="24"/>
          <w:szCs w:val="24"/>
        </w:rPr>
        <w:t>Gig Worker’s Motivation and Algorithmic Management: A Self-Determination Theory Perspective</w:t>
      </w:r>
      <w:r w:rsidRPr="00227727">
        <w:rPr>
          <w:rFonts w:ascii="Arial" w:eastAsia="Times New Roman" w:hAnsi="Arial" w:cs="Arial"/>
          <w:color w:val="0E101A"/>
          <w:sz w:val="24"/>
          <w:szCs w:val="24"/>
        </w:rPr>
        <w:t>. International Journal of Intelligent Computing and Technology, 6(1), 20-31​.</w:t>
      </w:r>
    </w:p>
    <w:p w14:paraId="1D4B3A0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Tummers, L. G., &amp; Bakker, A. B. (2021). Leadership and Job Demands-Resources theory: A systematic review. </w:t>
      </w:r>
      <w:r w:rsidRPr="00227727">
        <w:rPr>
          <w:rFonts w:ascii="Arial" w:hAnsi="Arial" w:cs="Arial"/>
          <w:i/>
          <w:iCs/>
          <w:sz w:val="24"/>
          <w:szCs w:val="24"/>
        </w:rPr>
        <w:t>Frontiers in Psychology, 12</w:t>
      </w:r>
      <w:r w:rsidRPr="00227727">
        <w:rPr>
          <w:rFonts w:ascii="Arial" w:hAnsi="Arial" w:cs="Arial"/>
          <w:sz w:val="24"/>
          <w:szCs w:val="24"/>
        </w:rPr>
        <w:t>, 722080.</w:t>
      </w:r>
    </w:p>
    <w:p w14:paraId="69FE9EDF"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Tuncer, H. B. (2019). </w:t>
      </w:r>
      <w:r w:rsidRPr="00227727">
        <w:rPr>
          <w:rFonts w:ascii="Arial" w:hAnsi="Arial" w:cs="Arial"/>
          <w:i/>
          <w:iCs/>
          <w:sz w:val="24"/>
          <w:szCs w:val="24"/>
        </w:rPr>
        <w:t>The impact of hrm practices on employee wellbeing, job satisfaction and individual work performance</w:t>
      </w:r>
      <w:r w:rsidRPr="00227727">
        <w:rPr>
          <w:rFonts w:ascii="Arial" w:hAnsi="Arial" w:cs="Arial"/>
          <w:sz w:val="24"/>
          <w:szCs w:val="24"/>
        </w:rPr>
        <w:t> (Master's thesis, Sosyal Bilimler Enstitüsü).</w:t>
      </w:r>
    </w:p>
    <w:p w14:paraId="6821B9E9" w14:textId="77777777" w:rsidR="00227727" w:rsidRPr="00227727" w:rsidRDefault="00227727" w:rsidP="00227727">
      <w:pPr>
        <w:pStyle w:val="CommentText"/>
        <w:spacing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lastRenderedPageBreak/>
        <w:t>Tuzovic, S., &amp; Kabadayi, S. (2020). The influence of social distancing on employee well-being: A conceptual framework and research agenda. </w:t>
      </w:r>
      <w:r w:rsidRPr="00227727">
        <w:rPr>
          <w:rFonts w:ascii="Arial" w:hAnsi="Arial" w:cs="Arial"/>
          <w:i/>
          <w:iCs/>
          <w:color w:val="000000" w:themeColor="text1"/>
          <w:sz w:val="24"/>
          <w:szCs w:val="24"/>
          <w:shd w:val="clear" w:color="auto" w:fill="FFFFFF"/>
        </w:rPr>
        <w:t>Journal of Service Management</w:t>
      </w:r>
      <w:r w:rsidRPr="00227727">
        <w:rPr>
          <w:rFonts w:ascii="Arial" w:hAnsi="Arial" w:cs="Arial"/>
          <w:color w:val="000000" w:themeColor="text1"/>
          <w:sz w:val="24"/>
          <w:szCs w:val="24"/>
          <w:shd w:val="clear" w:color="auto" w:fill="FFFFFF"/>
        </w:rPr>
        <w:t>.</w:t>
      </w:r>
    </w:p>
    <w:p w14:paraId="70E604DF"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Umeokafor, N. and Windapo, A., 2020. Improving the mental health and well-being of building and civil engineering workers: barriers to flexible working.</w:t>
      </w:r>
    </w:p>
    <w:p w14:paraId="4355C810"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Van De Voorde, K.V., Paauwe, J. and Van Veldhoven, M. (2012). ‘Employee Well-being and the HRM–Organisational Performance Relationship: A Review of Quantitative Studies’. International Journal of Management Reviews, 14, 391–407.</w:t>
      </w:r>
    </w:p>
    <w:p w14:paraId="4CE8DA9D"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Vandenberg, R., Richardson, H., &amp; Eastman, L. (1999). The impact of high involvement work processes on organisational effectiveness: A second order latent variable approach. </w:t>
      </w:r>
      <w:r w:rsidRPr="00227727">
        <w:rPr>
          <w:rFonts w:ascii="Arial" w:hAnsi="Arial" w:cs="Arial"/>
          <w:i/>
          <w:iCs/>
          <w:color w:val="000000" w:themeColor="text1"/>
          <w:sz w:val="24"/>
          <w:szCs w:val="24"/>
        </w:rPr>
        <w:t>Group and Organisational Management</w:t>
      </w:r>
      <w:r w:rsidRPr="00227727">
        <w:rPr>
          <w:rFonts w:ascii="Arial" w:hAnsi="Arial" w:cs="Arial"/>
          <w:color w:val="000000" w:themeColor="text1"/>
          <w:sz w:val="24"/>
          <w:szCs w:val="24"/>
        </w:rPr>
        <w:t>, 300-39.</w:t>
      </w:r>
    </w:p>
    <w:p w14:paraId="1C1799D8"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Wang, W. B., Shieh, C. J., Al-Khafaji, H. M. R., Sevbitov, A., Ismael, A. M., Chetthamrongchai, P., ... &amp; Bahrami, P. (2023). Predicting Antecedents of Employee Smart Work Adoption Using SEM</w:t>
      </w:r>
      <w:r w:rsidRPr="00227727">
        <w:rPr>
          <w:rFonts w:ascii="Cambria Math" w:hAnsi="Cambria Math" w:cs="Cambria Math"/>
          <w:sz w:val="24"/>
          <w:szCs w:val="24"/>
        </w:rPr>
        <w:t>‐</w:t>
      </w:r>
      <w:r w:rsidRPr="00227727">
        <w:rPr>
          <w:rFonts w:ascii="Arial" w:hAnsi="Arial" w:cs="Arial"/>
          <w:sz w:val="24"/>
          <w:szCs w:val="24"/>
        </w:rPr>
        <w:t>Multilayer Perceptron Approach. </w:t>
      </w:r>
      <w:r w:rsidRPr="00227727">
        <w:rPr>
          <w:rFonts w:ascii="Arial" w:hAnsi="Arial" w:cs="Arial"/>
          <w:i/>
          <w:iCs/>
          <w:sz w:val="24"/>
          <w:szCs w:val="24"/>
        </w:rPr>
        <w:t>Human Behavior and Emerging Technologies</w:t>
      </w:r>
      <w:r w:rsidRPr="00227727">
        <w:rPr>
          <w:rFonts w:ascii="Arial" w:hAnsi="Arial" w:cs="Arial"/>
          <w:sz w:val="24"/>
          <w:szCs w:val="24"/>
        </w:rPr>
        <w:t>, </w:t>
      </w:r>
      <w:r w:rsidRPr="00227727">
        <w:rPr>
          <w:rFonts w:ascii="Arial" w:hAnsi="Arial" w:cs="Arial"/>
          <w:i/>
          <w:iCs/>
          <w:sz w:val="24"/>
          <w:szCs w:val="24"/>
        </w:rPr>
        <w:t>2023</w:t>
      </w:r>
      <w:r w:rsidRPr="00227727">
        <w:rPr>
          <w:rFonts w:ascii="Arial" w:hAnsi="Arial" w:cs="Arial"/>
          <w:sz w:val="24"/>
          <w:szCs w:val="24"/>
        </w:rPr>
        <w:t>(1), 7623801.</w:t>
      </w:r>
    </w:p>
    <w:p w14:paraId="5075C105"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Warr, P., Nielsen, K., 2018. Wellbeing and work performance.</w:t>
      </w:r>
    </w:p>
    <w:p w14:paraId="507AB69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Weerakoon, C. and McMurray, A., 2021. The Introduction: An Overview to Workplace Innovation Research. The Palgrave Handbook of Workplace Innovation, pp.3-21.</w:t>
      </w:r>
    </w:p>
    <w:p w14:paraId="0EBB3CD6" w14:textId="77777777" w:rsidR="00227727" w:rsidRPr="00227727" w:rsidRDefault="00227727" w:rsidP="00227727">
      <w:pPr>
        <w:spacing w:after="0" w:line="360" w:lineRule="auto"/>
        <w:ind w:left="720" w:hanging="720"/>
        <w:jc w:val="both"/>
        <w:rPr>
          <w:rFonts w:ascii="Arial" w:hAnsi="Arial" w:cs="Arial"/>
          <w:color w:val="000000" w:themeColor="text1"/>
          <w:sz w:val="24"/>
          <w:szCs w:val="24"/>
          <w:shd w:val="clear" w:color="auto" w:fill="FFFFFF"/>
        </w:rPr>
      </w:pPr>
      <w:r w:rsidRPr="00227727">
        <w:rPr>
          <w:rFonts w:ascii="Arial" w:hAnsi="Arial" w:cs="Arial"/>
          <w:color w:val="000000" w:themeColor="text1"/>
          <w:sz w:val="24"/>
          <w:szCs w:val="24"/>
          <w:shd w:val="clear" w:color="auto" w:fill="FFFFFF"/>
        </w:rPr>
        <w:t>Wheatley, D. (2017). Employee satisfaction and use of flexible working arrangements. </w:t>
      </w:r>
      <w:r w:rsidRPr="00227727">
        <w:rPr>
          <w:rFonts w:ascii="Arial" w:hAnsi="Arial" w:cs="Arial"/>
          <w:i/>
          <w:iCs/>
          <w:color w:val="000000" w:themeColor="text1"/>
          <w:sz w:val="24"/>
          <w:szCs w:val="24"/>
          <w:shd w:val="clear" w:color="auto" w:fill="FFFFFF"/>
        </w:rPr>
        <w:t>Work, employment and society</w:t>
      </w:r>
      <w:r w:rsidRPr="00227727">
        <w:rPr>
          <w:rFonts w:ascii="Arial" w:hAnsi="Arial" w:cs="Arial"/>
          <w:color w:val="000000" w:themeColor="text1"/>
          <w:sz w:val="24"/>
          <w:szCs w:val="24"/>
          <w:shd w:val="clear" w:color="auto" w:fill="FFFFFF"/>
        </w:rPr>
        <w:t>, </w:t>
      </w:r>
      <w:r w:rsidRPr="00227727">
        <w:rPr>
          <w:rFonts w:ascii="Arial" w:hAnsi="Arial" w:cs="Arial"/>
          <w:i/>
          <w:iCs/>
          <w:color w:val="000000" w:themeColor="text1"/>
          <w:sz w:val="24"/>
          <w:szCs w:val="24"/>
          <w:shd w:val="clear" w:color="auto" w:fill="FFFFFF"/>
        </w:rPr>
        <w:t>31</w:t>
      </w:r>
      <w:r w:rsidRPr="00227727">
        <w:rPr>
          <w:rFonts w:ascii="Arial" w:hAnsi="Arial" w:cs="Arial"/>
          <w:color w:val="000000" w:themeColor="text1"/>
          <w:sz w:val="24"/>
          <w:szCs w:val="24"/>
          <w:shd w:val="clear" w:color="auto" w:fill="FFFFFF"/>
        </w:rPr>
        <w:t>(4), 567-585.</w:t>
      </w:r>
    </w:p>
    <w:p w14:paraId="401994E4"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Wood, S., Veldhoven, M., Croon, M. and De Ménezes, L. M. (2012). ‘Enriched job design, high involvement management and organisational performance: The mediating roles of job satisfaction and well-being’.Human Relations, 65:4, 419-446.</w:t>
      </w:r>
    </w:p>
    <w:p w14:paraId="3071BCAE"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Woodburn, A. (2019). Rail network resilience and operational responsiveness during unplanned disruption: A rail freight case study. </w:t>
      </w:r>
      <w:r w:rsidRPr="00227727">
        <w:rPr>
          <w:rStyle w:val="Emphasis"/>
          <w:rFonts w:ascii="Arial" w:hAnsi="Arial" w:cs="Arial"/>
          <w:color w:val="0E101A"/>
          <w:sz w:val="24"/>
          <w:szCs w:val="24"/>
        </w:rPr>
        <w:t>Journal of Transport Geography, 77</w:t>
      </w:r>
      <w:r w:rsidRPr="00227727">
        <w:rPr>
          <w:rFonts w:ascii="Arial" w:hAnsi="Arial" w:cs="Arial"/>
          <w:sz w:val="24"/>
          <w:szCs w:val="24"/>
        </w:rPr>
        <w:t xml:space="preserve">, 112-121. </w:t>
      </w:r>
      <w:hyperlink r:id="rId29" w:tgtFrame="_blank" w:history="1">
        <w:r w:rsidRPr="00227727">
          <w:rPr>
            <w:rStyle w:val="Hyperlink"/>
            <w:rFonts w:ascii="Arial" w:hAnsi="Arial" w:cs="Arial"/>
            <w:color w:val="4A6EE0"/>
            <w:sz w:val="24"/>
            <w:szCs w:val="24"/>
          </w:rPr>
          <w:t>https://doi.org/10.1016/j.jtrangeo.2019.04.006</w:t>
        </w:r>
      </w:hyperlink>
    </w:p>
    <w:p w14:paraId="16602E7D"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Wray-Lake, L., et al. (n.d.). Civic Engagement and Daily Well-Being: A Self-Determination Theory Perspective. </w:t>
      </w:r>
      <w:r w:rsidRPr="00227727">
        <w:rPr>
          <w:rFonts w:ascii="Arial" w:hAnsi="Arial" w:cs="Arial"/>
          <w:i/>
          <w:iCs/>
          <w:sz w:val="24"/>
          <w:szCs w:val="24"/>
        </w:rPr>
        <w:t>Journal of Positive Psychology</w:t>
      </w:r>
      <w:r w:rsidRPr="00227727">
        <w:rPr>
          <w:rFonts w:ascii="Arial" w:hAnsi="Arial" w:cs="Arial"/>
          <w:sz w:val="24"/>
          <w:szCs w:val="24"/>
        </w:rPr>
        <w:t>.</w:t>
      </w:r>
    </w:p>
    <w:p w14:paraId="02E42BA2"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 xml:space="preserve">Wright, K. B. (2005). Researching Internet-based populations: Advantages and disadvantages of online survey research, online questionnaire authoring software packages, and web survey services. </w:t>
      </w:r>
      <w:r w:rsidRPr="00227727">
        <w:rPr>
          <w:rFonts w:ascii="Arial" w:hAnsi="Arial" w:cs="Arial"/>
          <w:i/>
          <w:iCs/>
          <w:color w:val="000000" w:themeColor="text1"/>
          <w:sz w:val="24"/>
          <w:szCs w:val="24"/>
        </w:rPr>
        <w:t>Journal of computer-mediated communication</w:t>
      </w:r>
      <w:r w:rsidRPr="00227727">
        <w:rPr>
          <w:rFonts w:ascii="Arial" w:hAnsi="Arial" w:cs="Arial"/>
          <w:color w:val="000000" w:themeColor="text1"/>
          <w:sz w:val="24"/>
          <w:szCs w:val="24"/>
        </w:rPr>
        <w:t>.</w:t>
      </w:r>
    </w:p>
    <w:p w14:paraId="066A9E80" w14:textId="77777777" w:rsidR="00227727" w:rsidRPr="00227727" w:rsidRDefault="00227727" w:rsidP="00227727">
      <w:pPr>
        <w:spacing w:after="0" w:line="360" w:lineRule="auto"/>
        <w:ind w:left="720" w:hanging="720"/>
        <w:jc w:val="both"/>
        <w:rPr>
          <w:rFonts w:ascii="Arial" w:hAnsi="Arial" w:cs="Arial"/>
          <w:color w:val="000000" w:themeColor="text1"/>
          <w:sz w:val="24"/>
          <w:szCs w:val="24"/>
        </w:rPr>
      </w:pPr>
      <w:r w:rsidRPr="00227727">
        <w:rPr>
          <w:rFonts w:ascii="Arial" w:hAnsi="Arial" w:cs="Arial"/>
          <w:color w:val="000000" w:themeColor="text1"/>
          <w:sz w:val="24"/>
          <w:szCs w:val="24"/>
        </w:rPr>
        <w:t>Wu, N. (2018). ‘Flexible working: are we ready for this?’ in Hidden inequalities in the workplace: A guide into current challenges, issues and business solutions. Eds. V. Caven and S. Nachmias, NY: Palgrave McMillan, 127-154.</w:t>
      </w:r>
    </w:p>
    <w:p w14:paraId="434F5444"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Yan, R., Basheer, M. F., Irfan, M., &amp; Rana, T. N. (2020). Role of psychological factors in employee well-being and employee performance: an empirical evidence from Pakistan. </w:t>
      </w:r>
      <w:r w:rsidRPr="00227727">
        <w:rPr>
          <w:rFonts w:ascii="Arial" w:hAnsi="Arial" w:cs="Arial"/>
          <w:i/>
          <w:iCs/>
          <w:sz w:val="24"/>
          <w:szCs w:val="24"/>
        </w:rPr>
        <w:t>Revista Argentina de Clínica Psicológica</w:t>
      </w:r>
      <w:r w:rsidRPr="00227727">
        <w:rPr>
          <w:rFonts w:ascii="Arial" w:hAnsi="Arial" w:cs="Arial"/>
          <w:sz w:val="24"/>
          <w:szCs w:val="24"/>
        </w:rPr>
        <w:t>, </w:t>
      </w:r>
      <w:r w:rsidRPr="00227727">
        <w:rPr>
          <w:rFonts w:ascii="Arial" w:hAnsi="Arial" w:cs="Arial"/>
          <w:i/>
          <w:iCs/>
          <w:sz w:val="24"/>
          <w:szCs w:val="24"/>
        </w:rPr>
        <w:t>29</w:t>
      </w:r>
      <w:r w:rsidRPr="00227727">
        <w:rPr>
          <w:rFonts w:ascii="Arial" w:hAnsi="Arial" w:cs="Arial"/>
          <w:sz w:val="24"/>
          <w:szCs w:val="24"/>
        </w:rPr>
        <w:t>(5), 638.</w:t>
      </w:r>
    </w:p>
    <w:p w14:paraId="55609548"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lastRenderedPageBreak/>
        <w:t xml:space="preserve">Yang, X., &amp; Aurisicchio, M. (2021). </w:t>
      </w:r>
      <w:r w:rsidRPr="00227727">
        <w:rPr>
          <w:rFonts w:ascii="Arial" w:eastAsia="Times New Roman" w:hAnsi="Arial" w:cs="Arial"/>
          <w:i/>
          <w:iCs/>
          <w:color w:val="0E101A"/>
          <w:sz w:val="24"/>
          <w:szCs w:val="24"/>
        </w:rPr>
        <w:t>Designing Conversational Agents: A Self-Determination Theory Approach</w:t>
      </w:r>
      <w:r w:rsidRPr="00227727">
        <w:rPr>
          <w:rFonts w:ascii="Arial" w:eastAsia="Times New Roman" w:hAnsi="Arial" w:cs="Arial"/>
          <w:color w:val="0E101A"/>
          <w:sz w:val="24"/>
          <w:szCs w:val="24"/>
        </w:rPr>
        <w:t>. Proceedings of CHI Conference on Human Factors in Computing Systems. https://doi.org/10.1145/3411764.3445445.</w:t>
      </w:r>
    </w:p>
    <w:p w14:paraId="754BC285"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Yasinta, T., Firdaus, Z., &amp; Haqq, Z. N. (2024). The impact of techno complexity on work performance through emotional exhaustion. </w:t>
      </w:r>
      <w:r w:rsidRPr="00227727">
        <w:rPr>
          <w:rFonts w:ascii="Arial" w:eastAsia="Times New Roman" w:hAnsi="Arial" w:cs="Arial"/>
          <w:i/>
          <w:iCs/>
          <w:color w:val="0E101A"/>
          <w:sz w:val="24"/>
          <w:szCs w:val="24"/>
        </w:rPr>
        <w:t>Jurnal Fokus Manajemen Bisnis</w:t>
      </w:r>
      <w:r w:rsidRPr="00227727">
        <w:rPr>
          <w:rFonts w:ascii="Arial" w:eastAsia="Times New Roman" w:hAnsi="Arial" w:cs="Arial"/>
          <w:color w:val="0E101A"/>
          <w:sz w:val="24"/>
          <w:szCs w:val="24"/>
        </w:rPr>
        <w:t>. https://doi.org/10.12928/fokus.v14i2.10479.</w:t>
      </w:r>
    </w:p>
    <w:p w14:paraId="76726093"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Yin, H., Huang, S., &amp; Lv, L. (2018). A multilevel analysis of job characteristics, emotion regulation, and teacher well-being: A job demands-resources model. </w:t>
      </w:r>
      <w:r w:rsidRPr="00227727">
        <w:rPr>
          <w:rFonts w:ascii="Arial" w:hAnsi="Arial" w:cs="Arial"/>
          <w:i/>
          <w:iCs/>
          <w:sz w:val="24"/>
          <w:szCs w:val="24"/>
        </w:rPr>
        <w:t>Frontiers in Psychology, 9</w:t>
      </w:r>
      <w:r w:rsidRPr="00227727">
        <w:rPr>
          <w:rFonts w:ascii="Arial" w:hAnsi="Arial" w:cs="Arial"/>
          <w:sz w:val="24"/>
          <w:szCs w:val="24"/>
        </w:rPr>
        <w:t>, 2395.</w:t>
      </w:r>
    </w:p>
    <w:p w14:paraId="1CEFD5C6"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Yunus, S., Whitfield, K., &amp; Mostafa, A. M. S. (2023). High</w:t>
      </w:r>
      <w:r w:rsidRPr="00227727">
        <w:rPr>
          <w:rFonts w:ascii="Cambria Math" w:hAnsi="Cambria Math" w:cs="Cambria Math"/>
          <w:sz w:val="24"/>
          <w:szCs w:val="24"/>
        </w:rPr>
        <w:t>‐</w:t>
      </w:r>
      <w:r w:rsidRPr="00227727">
        <w:rPr>
          <w:rFonts w:ascii="Arial" w:hAnsi="Arial" w:cs="Arial"/>
          <w:sz w:val="24"/>
          <w:szCs w:val="24"/>
        </w:rPr>
        <w:t>performance HR practices, job demands and employee well</w:t>
      </w:r>
      <w:r w:rsidRPr="00227727">
        <w:rPr>
          <w:rFonts w:ascii="Cambria Math" w:hAnsi="Cambria Math" w:cs="Cambria Math"/>
          <w:sz w:val="24"/>
          <w:szCs w:val="24"/>
        </w:rPr>
        <w:t>‐</w:t>
      </w:r>
      <w:r w:rsidRPr="00227727">
        <w:rPr>
          <w:rFonts w:ascii="Arial" w:hAnsi="Arial" w:cs="Arial"/>
          <w:sz w:val="24"/>
          <w:szCs w:val="24"/>
        </w:rPr>
        <w:t xml:space="preserve">being: The moderating role of managerial support. </w:t>
      </w:r>
      <w:r w:rsidRPr="00227727">
        <w:rPr>
          <w:rFonts w:ascii="Arial" w:hAnsi="Arial" w:cs="Arial"/>
          <w:i/>
          <w:iCs/>
          <w:sz w:val="24"/>
          <w:szCs w:val="24"/>
        </w:rPr>
        <w:t>Stress and Health, 39</w:t>
      </w:r>
      <w:r w:rsidRPr="00227727">
        <w:rPr>
          <w:rFonts w:ascii="Arial" w:hAnsi="Arial" w:cs="Arial"/>
          <w:sz w:val="24"/>
          <w:szCs w:val="24"/>
        </w:rPr>
        <w:t>(5), 1106–1123.</w:t>
      </w:r>
    </w:p>
    <w:p w14:paraId="37E8D5D6"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Zaman, U., Nawaz, S., Javed, A., &amp; Rasul, T. (2020). </w:t>
      </w:r>
      <w:r w:rsidRPr="00227727">
        <w:rPr>
          <w:rFonts w:ascii="Arial" w:eastAsia="Times New Roman" w:hAnsi="Arial" w:cs="Arial"/>
          <w:i/>
          <w:iCs/>
          <w:color w:val="0E101A"/>
          <w:sz w:val="24"/>
          <w:szCs w:val="24"/>
        </w:rPr>
        <w:t>Linking SDT, Job Characteristics Model, and Motivation to the Joy of Gig Work</w:t>
      </w:r>
      <w:r w:rsidRPr="00227727">
        <w:rPr>
          <w:rFonts w:ascii="Arial" w:eastAsia="Times New Roman" w:hAnsi="Arial" w:cs="Arial"/>
          <w:color w:val="0E101A"/>
          <w:sz w:val="24"/>
          <w:szCs w:val="24"/>
        </w:rPr>
        <w:t>. Cogent Business &amp; Management, 7(1), 1807707. https://doi.org/10.1080/23311975.2020.1807707.</w:t>
      </w:r>
    </w:p>
    <w:p w14:paraId="7A604276"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Zhang, B., &amp; Ma, J. (2021). Research on employee innovation behavior based on JD-R model: Taking well-being as the mediating variable. </w:t>
      </w:r>
      <w:r w:rsidRPr="00227727">
        <w:rPr>
          <w:rFonts w:ascii="Arial" w:eastAsia="Times New Roman" w:hAnsi="Arial" w:cs="Arial"/>
          <w:i/>
          <w:iCs/>
          <w:color w:val="0E101A"/>
          <w:sz w:val="24"/>
          <w:szCs w:val="24"/>
        </w:rPr>
        <w:t>Journal of Physics: Conference Series</w:t>
      </w:r>
      <w:r w:rsidRPr="00227727">
        <w:rPr>
          <w:rFonts w:ascii="Arial" w:eastAsia="Times New Roman" w:hAnsi="Arial" w:cs="Arial"/>
          <w:color w:val="0E101A"/>
          <w:sz w:val="24"/>
          <w:szCs w:val="24"/>
        </w:rPr>
        <w:t>. https://doi.org/10.1088/1742-6596/2065/1/012034.</w:t>
      </w:r>
    </w:p>
    <w:p w14:paraId="59E2B34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Zhang, W. (2021). Network Criticality and the Node-Place-Design Model: Classifying Metro Station Areas in Greater London. </w:t>
      </w:r>
      <w:r w:rsidRPr="00227727">
        <w:rPr>
          <w:rStyle w:val="Emphasis"/>
          <w:rFonts w:ascii="Arial" w:hAnsi="Arial" w:cs="Arial"/>
          <w:color w:val="0E101A"/>
          <w:sz w:val="24"/>
          <w:szCs w:val="24"/>
        </w:rPr>
        <w:t>Transportation Research Part D: Transport and Environment, 99</w:t>
      </w:r>
      <w:r w:rsidRPr="00227727">
        <w:rPr>
          <w:rFonts w:ascii="Arial" w:hAnsi="Arial" w:cs="Arial"/>
          <w:sz w:val="24"/>
          <w:szCs w:val="24"/>
        </w:rPr>
        <w:t>, 102977. https://doi.org/10.1016/j.trd.2021.102977</w:t>
      </w:r>
    </w:p>
    <w:p w14:paraId="6903D7B2"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Zhang, W., Axhausen, K. W., &amp; Bierlaire, M. (2021). Smart Travel Behaviour Analysis and Transport Planning. </w:t>
      </w:r>
      <w:r w:rsidRPr="00227727">
        <w:rPr>
          <w:rStyle w:val="Emphasis"/>
          <w:rFonts w:ascii="Arial" w:hAnsi="Arial" w:cs="Arial"/>
          <w:color w:val="0E101A"/>
          <w:sz w:val="24"/>
          <w:szCs w:val="24"/>
        </w:rPr>
        <w:t>Transportation Research Part C: Emerging Technologies, 127</w:t>
      </w:r>
      <w:r w:rsidRPr="00227727">
        <w:rPr>
          <w:rFonts w:ascii="Arial" w:hAnsi="Arial" w:cs="Arial"/>
          <w:sz w:val="24"/>
          <w:szCs w:val="24"/>
        </w:rPr>
        <w:t>, 103145.</w:t>
      </w:r>
    </w:p>
    <w:p w14:paraId="5376B702" w14:textId="77777777" w:rsidR="00227727" w:rsidRPr="00227727" w:rsidRDefault="00227727" w:rsidP="00227727">
      <w:pPr>
        <w:spacing w:after="0" w:line="360" w:lineRule="auto"/>
        <w:ind w:left="720" w:hanging="720"/>
        <w:jc w:val="both"/>
        <w:rPr>
          <w:rFonts w:ascii="Arial" w:eastAsia="Times New Roman" w:hAnsi="Arial" w:cs="Arial"/>
          <w:color w:val="0E101A"/>
          <w:sz w:val="24"/>
          <w:szCs w:val="24"/>
        </w:rPr>
      </w:pPr>
      <w:r w:rsidRPr="00227727">
        <w:rPr>
          <w:rFonts w:ascii="Arial" w:eastAsia="Times New Roman" w:hAnsi="Arial" w:cs="Arial"/>
          <w:color w:val="0E101A"/>
          <w:sz w:val="24"/>
          <w:szCs w:val="24"/>
        </w:rPr>
        <w:t xml:space="preserve">Zhou, L., &amp; Li, J. J. (2023). </w:t>
      </w:r>
      <w:r w:rsidRPr="00227727">
        <w:rPr>
          <w:rFonts w:ascii="Arial" w:eastAsia="Times New Roman" w:hAnsi="Arial" w:cs="Arial"/>
          <w:i/>
          <w:iCs/>
          <w:color w:val="0E101A"/>
          <w:sz w:val="24"/>
          <w:szCs w:val="24"/>
        </w:rPr>
        <w:t>The Impact of ChatGPT on Learning Motivation: A Study Based on SDT</w:t>
      </w:r>
      <w:r w:rsidRPr="00227727">
        <w:rPr>
          <w:rFonts w:ascii="Arial" w:eastAsia="Times New Roman" w:hAnsi="Arial" w:cs="Arial"/>
          <w:color w:val="0E101A"/>
          <w:sz w:val="24"/>
          <w:szCs w:val="24"/>
        </w:rPr>
        <w:t>. Education Science and Management, 1(1), 19-29. https://doi.org/10.56578/esm010103.</w:t>
      </w:r>
    </w:p>
    <w:p w14:paraId="0C579E6C" w14:textId="77777777" w:rsidR="00227727" w:rsidRPr="00227727" w:rsidRDefault="00227727" w:rsidP="00227727">
      <w:pPr>
        <w:pStyle w:val="NoSpacing"/>
        <w:spacing w:line="360" w:lineRule="auto"/>
        <w:ind w:left="720" w:hanging="720"/>
        <w:jc w:val="both"/>
        <w:rPr>
          <w:rFonts w:ascii="Arial" w:hAnsi="Arial" w:cs="Arial"/>
          <w:sz w:val="24"/>
          <w:szCs w:val="24"/>
        </w:rPr>
      </w:pPr>
      <w:r w:rsidRPr="00227727">
        <w:rPr>
          <w:rFonts w:ascii="Arial" w:hAnsi="Arial" w:cs="Arial"/>
          <w:sz w:val="24"/>
          <w:szCs w:val="24"/>
        </w:rPr>
        <w:t xml:space="preserve">Zhou, T., et al. (2022). Burnout and well-being of healthcare workers in the post-pandemic period of COVID-19: A perspective from the job demands-resources model. </w:t>
      </w:r>
      <w:r w:rsidRPr="00227727">
        <w:rPr>
          <w:rFonts w:ascii="Arial" w:hAnsi="Arial" w:cs="Arial"/>
          <w:i/>
          <w:iCs/>
          <w:sz w:val="24"/>
          <w:szCs w:val="24"/>
        </w:rPr>
        <w:t>BMC Health Services Research, 22</w:t>
      </w:r>
      <w:r w:rsidRPr="00227727">
        <w:rPr>
          <w:rFonts w:ascii="Arial" w:hAnsi="Arial" w:cs="Arial"/>
          <w:sz w:val="24"/>
          <w:szCs w:val="24"/>
        </w:rPr>
        <w:t>, 284.</w:t>
      </w:r>
    </w:p>
    <w:p w14:paraId="18654EC8" w14:textId="77777777" w:rsidR="00227727" w:rsidRPr="00227727" w:rsidRDefault="00227727" w:rsidP="00227727">
      <w:pPr>
        <w:spacing w:after="0"/>
        <w:ind w:left="720" w:hanging="720"/>
        <w:jc w:val="both"/>
        <w:rPr>
          <w:rFonts w:ascii="Arial" w:hAnsi="Arial" w:cs="Arial"/>
          <w:sz w:val="24"/>
        </w:rPr>
      </w:pPr>
    </w:p>
    <w:p w14:paraId="018C1551" w14:textId="77777777" w:rsidR="00227727" w:rsidRPr="00227727" w:rsidRDefault="00227727" w:rsidP="00227727">
      <w:pPr>
        <w:pStyle w:val="NoSpacing"/>
        <w:spacing w:line="360" w:lineRule="auto"/>
        <w:ind w:left="720" w:hanging="720"/>
        <w:jc w:val="both"/>
        <w:rPr>
          <w:rFonts w:ascii="Arial" w:hAnsi="Arial" w:cs="Arial"/>
          <w:sz w:val="32"/>
          <w:szCs w:val="24"/>
        </w:rPr>
      </w:pPr>
    </w:p>
    <w:p w14:paraId="761A82EA" w14:textId="77777777" w:rsidR="00227727" w:rsidRPr="00227727" w:rsidRDefault="00227727" w:rsidP="00227727">
      <w:pPr>
        <w:pStyle w:val="NoSpacing"/>
        <w:spacing w:line="360" w:lineRule="auto"/>
        <w:ind w:left="720" w:hanging="720"/>
        <w:jc w:val="both"/>
        <w:rPr>
          <w:rFonts w:ascii="Arial" w:hAnsi="Arial" w:cs="Arial"/>
          <w:sz w:val="24"/>
          <w:szCs w:val="24"/>
        </w:rPr>
      </w:pPr>
    </w:p>
    <w:p w14:paraId="721D3794" w14:textId="77777777" w:rsidR="00227727" w:rsidRPr="00227727" w:rsidRDefault="00227727" w:rsidP="00227727">
      <w:pPr>
        <w:spacing w:after="0" w:line="360" w:lineRule="auto"/>
        <w:ind w:left="720" w:hanging="720"/>
        <w:rPr>
          <w:rFonts w:ascii="Arial" w:hAnsi="Arial" w:cs="Arial"/>
          <w:color w:val="000000" w:themeColor="text1"/>
          <w:sz w:val="24"/>
          <w:szCs w:val="24"/>
        </w:rPr>
      </w:pPr>
    </w:p>
    <w:p w14:paraId="65EA15A2" w14:textId="77777777" w:rsidR="00227727" w:rsidRPr="00227727" w:rsidRDefault="00227727" w:rsidP="00227727">
      <w:pPr>
        <w:spacing w:after="0" w:line="360" w:lineRule="auto"/>
        <w:ind w:left="720" w:hanging="720"/>
        <w:rPr>
          <w:rFonts w:ascii="Arial" w:hAnsi="Arial" w:cs="Arial"/>
          <w:color w:val="000000" w:themeColor="text1"/>
          <w:sz w:val="24"/>
          <w:szCs w:val="24"/>
        </w:rPr>
      </w:pPr>
    </w:p>
    <w:sdt>
      <w:sdtPr>
        <w:rPr>
          <w:rFonts w:ascii="Arial" w:hAnsi="Arial" w:cs="Arial"/>
          <w:color w:val="000000" w:themeColor="text1"/>
          <w:sz w:val="24"/>
          <w:szCs w:val="24"/>
        </w:rPr>
        <w:id w:val="-573587230"/>
        <w:bibliography/>
      </w:sdtPr>
      <w:sdtContent>
        <w:p w14:paraId="604CE534" w14:textId="77777777" w:rsidR="00227727" w:rsidRPr="00227727" w:rsidRDefault="00227727" w:rsidP="00227727">
          <w:pPr>
            <w:spacing w:after="0" w:line="360" w:lineRule="auto"/>
            <w:rPr>
              <w:rFonts w:ascii="Arial" w:hAnsi="Arial" w:cs="Arial"/>
            </w:rPr>
          </w:pPr>
        </w:p>
        <w:p w14:paraId="0101F7AD" w14:textId="77777777" w:rsidR="00227727" w:rsidRPr="00227727" w:rsidRDefault="00000000" w:rsidP="00227727">
          <w:pPr>
            <w:spacing w:after="0" w:line="360" w:lineRule="auto"/>
            <w:rPr>
              <w:rFonts w:ascii="Arial" w:hAnsi="Arial" w:cs="Arial"/>
              <w:color w:val="000000" w:themeColor="text1"/>
              <w:sz w:val="24"/>
              <w:szCs w:val="24"/>
            </w:rPr>
          </w:pPr>
        </w:p>
      </w:sdtContent>
    </w:sdt>
    <w:p w14:paraId="43875E05" w14:textId="77777777" w:rsidR="00227727" w:rsidRPr="00227727" w:rsidRDefault="00227727" w:rsidP="00227727">
      <w:pPr>
        <w:spacing w:after="0" w:line="360" w:lineRule="auto"/>
        <w:ind w:left="720" w:hanging="720"/>
        <w:rPr>
          <w:rFonts w:ascii="Arial" w:hAnsi="Arial" w:cs="Arial"/>
          <w:color w:val="000000" w:themeColor="text1"/>
          <w:sz w:val="24"/>
          <w:szCs w:val="24"/>
        </w:rPr>
        <w:sectPr w:rsidR="00227727" w:rsidRPr="00227727" w:rsidSect="00227727">
          <w:pgSz w:w="11900" w:h="16840"/>
          <w:pgMar w:top="567" w:right="567" w:bottom="567" w:left="567" w:header="709" w:footer="709" w:gutter="0"/>
          <w:cols w:space="708"/>
          <w:docGrid w:linePitch="360"/>
        </w:sectPr>
      </w:pPr>
    </w:p>
    <w:p w14:paraId="3B2ECC2C" w14:textId="77777777" w:rsidR="00227727" w:rsidRPr="00227727" w:rsidRDefault="00227727" w:rsidP="00227727">
      <w:pPr>
        <w:pStyle w:val="Heading2"/>
        <w:rPr>
          <w:rFonts w:ascii="Arial" w:hAnsi="Arial" w:cs="Arial"/>
        </w:rPr>
      </w:pPr>
      <w:bookmarkStart w:id="17" w:name="_Toc197072224"/>
      <w:r w:rsidRPr="00227727">
        <w:rPr>
          <w:rFonts w:ascii="Arial" w:hAnsi="Arial" w:cs="Arial"/>
        </w:rPr>
        <w:lastRenderedPageBreak/>
        <w:t>APPENDICES</w:t>
      </w:r>
      <w:bookmarkEnd w:id="17"/>
    </w:p>
    <w:p w14:paraId="0D5B7793" w14:textId="77777777" w:rsidR="00227727" w:rsidRPr="00227727" w:rsidRDefault="00227727" w:rsidP="00227727">
      <w:pPr>
        <w:pStyle w:val="Heading3"/>
        <w:rPr>
          <w:rFonts w:ascii="Arial" w:hAnsi="Arial" w:cs="Arial"/>
        </w:rPr>
      </w:pPr>
      <w:r w:rsidRPr="00227727">
        <w:rPr>
          <w:rFonts w:ascii="Arial" w:hAnsi="Arial" w:cs="Arial"/>
          <w:b/>
        </w:rPr>
        <w:t>Appendix A:</w:t>
      </w:r>
      <w:r w:rsidRPr="00227727">
        <w:rPr>
          <w:rFonts w:ascii="Arial" w:hAnsi="Arial" w:cs="Arial"/>
        </w:rPr>
        <w:t xml:space="preserve"> Survey Questionnaire</w:t>
      </w:r>
    </w:p>
    <w:p w14:paraId="0906EFBD" w14:textId="77777777" w:rsidR="00227727" w:rsidRPr="00227727" w:rsidRDefault="00227727" w:rsidP="00227727">
      <w:pPr>
        <w:spacing w:after="0" w:line="480" w:lineRule="auto"/>
        <w:rPr>
          <w:rFonts w:ascii="Arial" w:hAnsi="Arial" w:cs="Arial"/>
          <w:b/>
        </w:rPr>
      </w:pPr>
      <w:r w:rsidRPr="00227727">
        <w:rPr>
          <w:rFonts w:ascii="Arial" w:hAnsi="Arial" w:cs="Arial"/>
          <w:b/>
        </w:rPr>
        <w:t xml:space="preserve">Section A: Demographic Information </w:t>
      </w:r>
    </w:p>
    <w:tbl>
      <w:tblPr>
        <w:tblStyle w:val="ListTable6Colourful"/>
        <w:tblW w:w="0" w:type="auto"/>
        <w:tblLook w:val="0620" w:firstRow="1" w:lastRow="0" w:firstColumn="0" w:lastColumn="0" w:noHBand="1" w:noVBand="1"/>
      </w:tblPr>
      <w:tblGrid>
        <w:gridCol w:w="2869"/>
        <w:gridCol w:w="4323"/>
        <w:gridCol w:w="3574"/>
      </w:tblGrid>
      <w:tr w:rsidR="00227727" w:rsidRPr="00227727" w14:paraId="710B9621" w14:textId="77777777" w:rsidTr="00E772F3">
        <w:trPr>
          <w:cnfStyle w:val="100000000000" w:firstRow="1" w:lastRow="0" w:firstColumn="0" w:lastColumn="0" w:oddVBand="0" w:evenVBand="0" w:oddHBand="0" w:evenHBand="0" w:firstRowFirstColumn="0" w:firstRowLastColumn="0" w:lastRowFirstColumn="0" w:lastRowLastColumn="0"/>
        </w:trPr>
        <w:tc>
          <w:tcPr>
            <w:tcW w:w="0" w:type="auto"/>
            <w:hideMark/>
          </w:tcPr>
          <w:p w14:paraId="6A27D50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Demographic Variable</w:t>
            </w:r>
          </w:p>
        </w:tc>
        <w:tc>
          <w:tcPr>
            <w:tcW w:w="0" w:type="auto"/>
            <w:hideMark/>
          </w:tcPr>
          <w:p w14:paraId="1523CC8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Question/Item</w:t>
            </w:r>
          </w:p>
        </w:tc>
        <w:tc>
          <w:tcPr>
            <w:tcW w:w="0" w:type="auto"/>
            <w:hideMark/>
          </w:tcPr>
          <w:p w14:paraId="1969205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Options/Response</w:t>
            </w:r>
          </w:p>
        </w:tc>
      </w:tr>
      <w:tr w:rsidR="00227727" w:rsidRPr="00227727" w14:paraId="4E857C8E" w14:textId="77777777" w:rsidTr="00E772F3">
        <w:tc>
          <w:tcPr>
            <w:tcW w:w="0" w:type="auto"/>
            <w:hideMark/>
          </w:tcPr>
          <w:p w14:paraId="648B63F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Organisation</w:t>
            </w:r>
          </w:p>
        </w:tc>
        <w:tc>
          <w:tcPr>
            <w:tcW w:w="0" w:type="auto"/>
            <w:hideMark/>
          </w:tcPr>
          <w:p w14:paraId="52874E8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Which organisation do you work for?</w:t>
            </w:r>
          </w:p>
        </w:tc>
        <w:tc>
          <w:tcPr>
            <w:tcW w:w="0" w:type="auto"/>
            <w:hideMark/>
          </w:tcPr>
          <w:p w14:paraId="2BDD642C"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Network Rail </w:t>
            </w:r>
          </w:p>
          <w:p w14:paraId="6758A381"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Transport for London</w:t>
            </w:r>
          </w:p>
        </w:tc>
      </w:tr>
      <w:tr w:rsidR="00227727" w:rsidRPr="00227727" w14:paraId="24678E74" w14:textId="77777777" w:rsidTr="00E772F3">
        <w:tc>
          <w:tcPr>
            <w:tcW w:w="0" w:type="auto"/>
            <w:hideMark/>
          </w:tcPr>
          <w:p w14:paraId="7208349E"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Region/Location</w:t>
            </w:r>
          </w:p>
        </w:tc>
        <w:tc>
          <w:tcPr>
            <w:tcW w:w="0" w:type="auto"/>
            <w:hideMark/>
          </w:tcPr>
          <w:p w14:paraId="3FD773D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 xml:space="preserve">Where are you based? </w:t>
            </w:r>
          </w:p>
        </w:tc>
        <w:tc>
          <w:tcPr>
            <w:tcW w:w="0" w:type="auto"/>
            <w:hideMark/>
          </w:tcPr>
          <w:p w14:paraId="478465F6" w14:textId="77777777" w:rsidR="00227727" w:rsidRPr="00227727" w:rsidRDefault="00227727" w:rsidP="00E772F3">
            <w:pPr>
              <w:spacing w:line="360" w:lineRule="auto"/>
              <w:rPr>
                <w:rFonts w:ascii="Arial" w:eastAsia="Times New Roman" w:hAnsi="Arial" w:cs="Arial"/>
                <w:sz w:val="22"/>
              </w:rPr>
            </w:pPr>
          </w:p>
          <w:tbl>
            <w:tblPr>
              <w:tblW w:w="2543" w:type="dxa"/>
              <w:tblLook w:val="04A0" w:firstRow="1" w:lastRow="0" w:firstColumn="1" w:lastColumn="0" w:noHBand="0" w:noVBand="1"/>
            </w:tblPr>
            <w:tblGrid>
              <w:gridCol w:w="2543"/>
            </w:tblGrid>
            <w:tr w:rsidR="00227727" w:rsidRPr="00227727" w14:paraId="1BB9031D" w14:textId="77777777" w:rsidTr="00E772F3">
              <w:trPr>
                <w:trHeight w:val="320"/>
              </w:trPr>
              <w:tc>
                <w:tcPr>
                  <w:tcW w:w="2543" w:type="dxa"/>
                  <w:tcBorders>
                    <w:top w:val="nil"/>
                    <w:left w:val="nil"/>
                    <w:bottom w:val="nil"/>
                    <w:right w:val="nil"/>
                  </w:tcBorders>
                  <w:shd w:val="clear" w:color="auto" w:fill="auto"/>
                  <w:noWrap/>
                  <w:vAlign w:val="bottom"/>
                  <w:hideMark/>
                </w:tcPr>
                <w:p w14:paraId="3D485A32"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North East</w:t>
                  </w:r>
                </w:p>
              </w:tc>
            </w:tr>
            <w:tr w:rsidR="00227727" w:rsidRPr="00227727" w14:paraId="10F116B9" w14:textId="77777777" w:rsidTr="00E772F3">
              <w:trPr>
                <w:trHeight w:val="320"/>
              </w:trPr>
              <w:tc>
                <w:tcPr>
                  <w:tcW w:w="2543" w:type="dxa"/>
                  <w:tcBorders>
                    <w:top w:val="nil"/>
                    <w:left w:val="nil"/>
                    <w:bottom w:val="nil"/>
                    <w:right w:val="nil"/>
                  </w:tcBorders>
                  <w:shd w:val="clear" w:color="auto" w:fill="auto"/>
                  <w:noWrap/>
                  <w:vAlign w:val="bottom"/>
                  <w:hideMark/>
                </w:tcPr>
                <w:p w14:paraId="23B925EF"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East of England</w:t>
                  </w:r>
                </w:p>
              </w:tc>
            </w:tr>
            <w:tr w:rsidR="00227727" w:rsidRPr="00227727" w14:paraId="2C3E7A91" w14:textId="77777777" w:rsidTr="00E772F3">
              <w:trPr>
                <w:trHeight w:val="320"/>
              </w:trPr>
              <w:tc>
                <w:tcPr>
                  <w:tcW w:w="2543" w:type="dxa"/>
                  <w:tcBorders>
                    <w:top w:val="nil"/>
                    <w:left w:val="nil"/>
                    <w:bottom w:val="nil"/>
                    <w:right w:val="nil"/>
                  </w:tcBorders>
                  <w:shd w:val="clear" w:color="auto" w:fill="auto"/>
                  <w:noWrap/>
                  <w:vAlign w:val="bottom"/>
                  <w:hideMark/>
                </w:tcPr>
                <w:p w14:paraId="0C0162F8"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South West</w:t>
                  </w:r>
                </w:p>
              </w:tc>
            </w:tr>
            <w:tr w:rsidR="00227727" w:rsidRPr="00227727" w14:paraId="7C15C421" w14:textId="77777777" w:rsidTr="00E772F3">
              <w:trPr>
                <w:trHeight w:val="320"/>
              </w:trPr>
              <w:tc>
                <w:tcPr>
                  <w:tcW w:w="2543" w:type="dxa"/>
                  <w:tcBorders>
                    <w:top w:val="nil"/>
                    <w:left w:val="nil"/>
                    <w:bottom w:val="nil"/>
                    <w:right w:val="nil"/>
                  </w:tcBorders>
                  <w:shd w:val="clear" w:color="auto" w:fill="auto"/>
                  <w:noWrap/>
                  <w:vAlign w:val="bottom"/>
                  <w:hideMark/>
                </w:tcPr>
                <w:p w14:paraId="73F0E889"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Scotland</w:t>
                  </w:r>
                </w:p>
              </w:tc>
            </w:tr>
            <w:tr w:rsidR="00227727" w:rsidRPr="00227727" w14:paraId="55D43199" w14:textId="77777777" w:rsidTr="00E772F3">
              <w:trPr>
                <w:trHeight w:val="320"/>
              </w:trPr>
              <w:tc>
                <w:tcPr>
                  <w:tcW w:w="2543" w:type="dxa"/>
                  <w:tcBorders>
                    <w:top w:val="nil"/>
                    <w:left w:val="nil"/>
                    <w:bottom w:val="nil"/>
                    <w:right w:val="nil"/>
                  </w:tcBorders>
                  <w:shd w:val="clear" w:color="auto" w:fill="auto"/>
                  <w:noWrap/>
                  <w:vAlign w:val="bottom"/>
                  <w:hideMark/>
                </w:tcPr>
                <w:p w14:paraId="6A1229A3"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North West</w:t>
                  </w:r>
                </w:p>
              </w:tc>
            </w:tr>
            <w:tr w:rsidR="00227727" w:rsidRPr="00227727" w14:paraId="62BE15C6" w14:textId="77777777" w:rsidTr="00E772F3">
              <w:trPr>
                <w:trHeight w:val="320"/>
              </w:trPr>
              <w:tc>
                <w:tcPr>
                  <w:tcW w:w="2543" w:type="dxa"/>
                  <w:tcBorders>
                    <w:top w:val="nil"/>
                    <w:left w:val="nil"/>
                    <w:bottom w:val="nil"/>
                    <w:right w:val="nil"/>
                  </w:tcBorders>
                  <w:shd w:val="clear" w:color="auto" w:fill="auto"/>
                  <w:noWrap/>
                  <w:vAlign w:val="bottom"/>
                  <w:hideMark/>
                </w:tcPr>
                <w:p w14:paraId="487F9D30"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London</w:t>
                  </w:r>
                </w:p>
              </w:tc>
            </w:tr>
            <w:tr w:rsidR="00227727" w:rsidRPr="00227727" w14:paraId="5384296F" w14:textId="77777777" w:rsidTr="00E772F3">
              <w:trPr>
                <w:trHeight w:val="320"/>
              </w:trPr>
              <w:tc>
                <w:tcPr>
                  <w:tcW w:w="2543" w:type="dxa"/>
                  <w:tcBorders>
                    <w:top w:val="nil"/>
                    <w:left w:val="nil"/>
                    <w:bottom w:val="nil"/>
                    <w:right w:val="nil"/>
                  </w:tcBorders>
                  <w:shd w:val="clear" w:color="auto" w:fill="auto"/>
                  <w:noWrap/>
                  <w:vAlign w:val="bottom"/>
                  <w:hideMark/>
                </w:tcPr>
                <w:p w14:paraId="315636E1"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West Midlands</w:t>
                  </w:r>
                </w:p>
              </w:tc>
            </w:tr>
            <w:tr w:rsidR="00227727" w:rsidRPr="00227727" w14:paraId="109C410C" w14:textId="77777777" w:rsidTr="00E772F3">
              <w:trPr>
                <w:trHeight w:val="320"/>
              </w:trPr>
              <w:tc>
                <w:tcPr>
                  <w:tcW w:w="2543" w:type="dxa"/>
                  <w:tcBorders>
                    <w:top w:val="nil"/>
                    <w:left w:val="nil"/>
                    <w:bottom w:val="nil"/>
                    <w:right w:val="nil"/>
                  </w:tcBorders>
                  <w:shd w:val="clear" w:color="auto" w:fill="auto"/>
                  <w:noWrap/>
                  <w:vAlign w:val="bottom"/>
                  <w:hideMark/>
                </w:tcPr>
                <w:p w14:paraId="10365D0C"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East Midlands</w:t>
                  </w:r>
                </w:p>
              </w:tc>
            </w:tr>
            <w:tr w:rsidR="00227727" w:rsidRPr="00227727" w14:paraId="7B5EB644" w14:textId="77777777" w:rsidTr="00E772F3">
              <w:trPr>
                <w:trHeight w:val="320"/>
              </w:trPr>
              <w:tc>
                <w:tcPr>
                  <w:tcW w:w="2543" w:type="dxa"/>
                  <w:tcBorders>
                    <w:top w:val="nil"/>
                    <w:left w:val="nil"/>
                    <w:bottom w:val="nil"/>
                    <w:right w:val="nil"/>
                  </w:tcBorders>
                  <w:shd w:val="clear" w:color="auto" w:fill="auto"/>
                  <w:noWrap/>
                  <w:vAlign w:val="bottom"/>
                  <w:hideMark/>
                </w:tcPr>
                <w:p w14:paraId="557818DD"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South East</w:t>
                  </w:r>
                </w:p>
              </w:tc>
            </w:tr>
            <w:tr w:rsidR="00227727" w:rsidRPr="00227727" w14:paraId="75A26108" w14:textId="77777777" w:rsidTr="00E772F3">
              <w:trPr>
                <w:trHeight w:val="320"/>
              </w:trPr>
              <w:tc>
                <w:tcPr>
                  <w:tcW w:w="2543" w:type="dxa"/>
                  <w:tcBorders>
                    <w:top w:val="nil"/>
                    <w:left w:val="nil"/>
                    <w:bottom w:val="nil"/>
                    <w:right w:val="nil"/>
                  </w:tcBorders>
                  <w:shd w:val="clear" w:color="auto" w:fill="auto"/>
                  <w:noWrap/>
                  <w:vAlign w:val="bottom"/>
                  <w:hideMark/>
                </w:tcPr>
                <w:p w14:paraId="7B8342B0"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Wales</w:t>
                  </w:r>
                </w:p>
              </w:tc>
            </w:tr>
            <w:tr w:rsidR="00227727" w:rsidRPr="00227727" w14:paraId="2506D507" w14:textId="77777777" w:rsidTr="00E772F3">
              <w:trPr>
                <w:trHeight w:val="320"/>
              </w:trPr>
              <w:tc>
                <w:tcPr>
                  <w:tcW w:w="2543" w:type="dxa"/>
                  <w:tcBorders>
                    <w:top w:val="nil"/>
                    <w:left w:val="nil"/>
                    <w:bottom w:val="nil"/>
                    <w:right w:val="nil"/>
                  </w:tcBorders>
                  <w:shd w:val="clear" w:color="auto" w:fill="auto"/>
                  <w:noWrap/>
                  <w:vAlign w:val="bottom"/>
                  <w:hideMark/>
                </w:tcPr>
                <w:p w14:paraId="71715CED"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Yorkshire and The Humber</w:t>
                  </w:r>
                </w:p>
              </w:tc>
            </w:tr>
            <w:tr w:rsidR="00227727" w:rsidRPr="00227727" w14:paraId="06076201" w14:textId="77777777" w:rsidTr="00E772F3">
              <w:trPr>
                <w:trHeight w:val="320"/>
              </w:trPr>
              <w:tc>
                <w:tcPr>
                  <w:tcW w:w="2543" w:type="dxa"/>
                  <w:tcBorders>
                    <w:top w:val="nil"/>
                    <w:left w:val="nil"/>
                    <w:bottom w:val="nil"/>
                    <w:right w:val="nil"/>
                  </w:tcBorders>
                  <w:shd w:val="clear" w:color="auto" w:fill="auto"/>
                  <w:noWrap/>
                  <w:vAlign w:val="bottom"/>
                  <w:hideMark/>
                </w:tcPr>
                <w:p w14:paraId="12273ACC" w14:textId="77777777" w:rsidR="00227727" w:rsidRPr="00227727" w:rsidRDefault="00227727" w:rsidP="00E772F3">
                  <w:pPr>
                    <w:spacing w:after="0" w:line="360" w:lineRule="auto"/>
                    <w:rPr>
                      <w:rFonts w:ascii="Arial" w:eastAsia="Times New Roman" w:hAnsi="Arial" w:cs="Arial"/>
                      <w:color w:val="000000" w:themeColor="text1"/>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w:t>
                  </w:r>
                  <w:r w:rsidRPr="00227727">
                    <w:rPr>
                      <w:rFonts w:ascii="Arial" w:eastAsia="Times New Roman" w:hAnsi="Arial" w:cs="Arial"/>
                      <w:color w:val="000000" w:themeColor="text1"/>
                      <w:sz w:val="22"/>
                    </w:rPr>
                    <w:t>Northern Ireland</w:t>
                  </w:r>
                </w:p>
              </w:tc>
            </w:tr>
          </w:tbl>
          <w:p w14:paraId="64477530" w14:textId="77777777" w:rsidR="00227727" w:rsidRPr="00227727" w:rsidRDefault="00227727" w:rsidP="00E772F3">
            <w:pPr>
              <w:spacing w:line="360" w:lineRule="auto"/>
              <w:rPr>
                <w:rFonts w:ascii="Arial" w:eastAsia="Times New Roman" w:hAnsi="Arial" w:cs="Arial"/>
                <w:sz w:val="22"/>
              </w:rPr>
            </w:pPr>
          </w:p>
        </w:tc>
      </w:tr>
      <w:tr w:rsidR="00227727" w:rsidRPr="00227727" w14:paraId="65FE9CA0" w14:textId="77777777" w:rsidTr="00E772F3">
        <w:tc>
          <w:tcPr>
            <w:tcW w:w="0" w:type="auto"/>
            <w:hideMark/>
          </w:tcPr>
          <w:p w14:paraId="33D0ADB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Role/Function</w:t>
            </w:r>
          </w:p>
        </w:tc>
        <w:tc>
          <w:tcPr>
            <w:tcW w:w="0" w:type="auto"/>
            <w:hideMark/>
          </w:tcPr>
          <w:p w14:paraId="67A51A72"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What is your primary role or function in the organisation?</w:t>
            </w:r>
          </w:p>
        </w:tc>
        <w:tc>
          <w:tcPr>
            <w:tcW w:w="0" w:type="auto"/>
            <w:hideMark/>
          </w:tcPr>
          <w:p w14:paraId="43F486DE"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HR </w:t>
            </w:r>
          </w:p>
          <w:p w14:paraId="16E6CB5E"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Finance </w:t>
            </w:r>
          </w:p>
          <w:p w14:paraId="2F148B06"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Sales and Marketing </w:t>
            </w:r>
          </w:p>
          <w:p w14:paraId="42262FA9"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Communication</w:t>
            </w:r>
          </w:p>
          <w:p w14:paraId="4DFF2F00"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Strategy and change</w:t>
            </w:r>
          </w:p>
          <w:p w14:paraId="51BAED37"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IT</w:t>
            </w:r>
          </w:p>
          <w:p w14:paraId="0B2B2522"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Administration</w:t>
            </w:r>
          </w:p>
          <w:p w14:paraId="113C4E24"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Customer Service</w:t>
            </w:r>
          </w:p>
          <w:p w14:paraId="518E64D0"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Operations</w:t>
            </w:r>
          </w:p>
          <w:p w14:paraId="5EBE6012"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Health &amp; Safety</w:t>
            </w:r>
          </w:p>
          <w:p w14:paraId="48786A94"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Legal</w:t>
            </w:r>
          </w:p>
          <w:p w14:paraId="4E9D9A03"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Engineering</w:t>
            </w:r>
          </w:p>
          <w:p w14:paraId="0F2A54A9"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Other (Please specify): ________________</w:t>
            </w:r>
          </w:p>
        </w:tc>
      </w:tr>
      <w:tr w:rsidR="00227727" w:rsidRPr="00227727" w14:paraId="2ED400C2" w14:textId="77777777" w:rsidTr="00E772F3">
        <w:tc>
          <w:tcPr>
            <w:tcW w:w="0" w:type="auto"/>
            <w:hideMark/>
          </w:tcPr>
          <w:p w14:paraId="73CBA00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lastRenderedPageBreak/>
              <w:t>Nature of Employment</w:t>
            </w:r>
          </w:p>
        </w:tc>
        <w:tc>
          <w:tcPr>
            <w:tcW w:w="0" w:type="auto"/>
            <w:hideMark/>
          </w:tcPr>
          <w:p w14:paraId="65C7410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What best describes your employment type?</w:t>
            </w:r>
          </w:p>
        </w:tc>
        <w:tc>
          <w:tcPr>
            <w:tcW w:w="0" w:type="auto"/>
            <w:hideMark/>
          </w:tcPr>
          <w:p w14:paraId="28176A03"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Apprentice / Work placement</w:t>
            </w:r>
          </w:p>
          <w:p w14:paraId="254ACA3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 xml:space="preserve">Manager </w:t>
            </w:r>
          </w:p>
          <w:p w14:paraId="413C3A48"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Supervisor </w:t>
            </w:r>
          </w:p>
          <w:p w14:paraId="3E94ACA1"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Employee</w:t>
            </w:r>
          </w:p>
          <w:p w14:paraId="68AF7979"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Senior manager</w:t>
            </w:r>
          </w:p>
        </w:tc>
      </w:tr>
      <w:tr w:rsidR="00227727" w:rsidRPr="00227727" w14:paraId="44912AEA" w14:textId="77777777" w:rsidTr="00E772F3">
        <w:tc>
          <w:tcPr>
            <w:tcW w:w="0" w:type="auto"/>
            <w:hideMark/>
          </w:tcPr>
          <w:p w14:paraId="162DD83D"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Work Autonomy</w:t>
            </w:r>
          </w:p>
        </w:tc>
        <w:tc>
          <w:tcPr>
            <w:tcW w:w="0" w:type="auto"/>
            <w:hideMark/>
          </w:tcPr>
          <w:p w14:paraId="77CD53C1" w14:textId="674D8D25"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 xml:space="preserve">Do you </w:t>
            </w:r>
            <w:r w:rsidR="00351EFC">
              <w:rPr>
                <w:rFonts w:ascii="Arial" w:eastAsia="Times New Roman" w:hAnsi="Arial" w:cs="Arial"/>
                <w:sz w:val="22"/>
              </w:rPr>
              <w:t xml:space="preserve">have </w:t>
            </w:r>
            <w:r w:rsidRPr="00227727">
              <w:rPr>
                <w:rFonts w:ascii="Arial" w:eastAsia="Times New Roman" w:hAnsi="Arial" w:cs="Arial"/>
                <w:sz w:val="22"/>
              </w:rPr>
              <w:t>flexibility to choose how, when and where you perform your work?</w:t>
            </w:r>
          </w:p>
        </w:tc>
        <w:tc>
          <w:tcPr>
            <w:tcW w:w="0" w:type="auto"/>
            <w:hideMark/>
          </w:tcPr>
          <w:p w14:paraId="1B130AC7"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Yes </w:t>
            </w:r>
            <w:r w:rsidRPr="00227727">
              <w:rPr>
                <w:rFonts w:ascii="Segoe UI Symbol" w:eastAsia="Times New Roman" w:hAnsi="Segoe UI Symbol" w:cs="Segoe UI Symbol"/>
                <w:sz w:val="22"/>
              </w:rPr>
              <w:t>☐</w:t>
            </w:r>
            <w:r w:rsidRPr="00227727">
              <w:rPr>
                <w:rFonts w:ascii="Arial" w:eastAsia="Times New Roman" w:hAnsi="Arial" w:cs="Arial"/>
                <w:sz w:val="22"/>
              </w:rPr>
              <w:t xml:space="preserve"> No</w:t>
            </w:r>
          </w:p>
        </w:tc>
      </w:tr>
      <w:tr w:rsidR="00227727" w:rsidRPr="00227727" w14:paraId="05309A57" w14:textId="77777777" w:rsidTr="00E772F3">
        <w:tc>
          <w:tcPr>
            <w:tcW w:w="0" w:type="auto"/>
            <w:hideMark/>
          </w:tcPr>
          <w:p w14:paraId="10283CC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Work Location</w:t>
            </w:r>
          </w:p>
        </w:tc>
        <w:tc>
          <w:tcPr>
            <w:tcW w:w="0" w:type="auto"/>
            <w:hideMark/>
          </w:tcPr>
          <w:p w14:paraId="72B196F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Where is your primary workplace located?</w:t>
            </w:r>
          </w:p>
        </w:tc>
        <w:tc>
          <w:tcPr>
            <w:tcW w:w="0" w:type="auto"/>
            <w:hideMark/>
          </w:tcPr>
          <w:p w14:paraId="21F912F7"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Fixed desk-based </w:t>
            </w:r>
          </w:p>
          <w:p w14:paraId="6B595F06"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Hybrid</w:t>
            </w:r>
          </w:p>
          <w:p w14:paraId="5E9F6C74"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Front-line</w:t>
            </w:r>
          </w:p>
          <w:p w14:paraId="251080F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Remote</w:t>
            </w:r>
          </w:p>
        </w:tc>
      </w:tr>
      <w:tr w:rsidR="00227727" w:rsidRPr="00227727" w14:paraId="52BD352C" w14:textId="77777777" w:rsidTr="00E772F3">
        <w:tc>
          <w:tcPr>
            <w:tcW w:w="0" w:type="auto"/>
            <w:hideMark/>
          </w:tcPr>
          <w:p w14:paraId="349DB2D4"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Length of Employment</w:t>
            </w:r>
          </w:p>
        </w:tc>
        <w:tc>
          <w:tcPr>
            <w:tcW w:w="0" w:type="auto"/>
            <w:hideMark/>
          </w:tcPr>
          <w:p w14:paraId="20E243D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How long have you been employed in your current role?</w:t>
            </w:r>
          </w:p>
        </w:tc>
        <w:tc>
          <w:tcPr>
            <w:tcW w:w="0" w:type="auto"/>
            <w:hideMark/>
          </w:tcPr>
          <w:p w14:paraId="235133E6"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Less than 1 year </w:t>
            </w:r>
          </w:p>
          <w:p w14:paraId="7D40B925"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1–3 years </w:t>
            </w:r>
          </w:p>
          <w:p w14:paraId="370BC24B"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3–5 years </w:t>
            </w:r>
          </w:p>
          <w:p w14:paraId="592988D7"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5-10 years</w:t>
            </w:r>
          </w:p>
          <w:p w14:paraId="297398E4"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10+ years</w:t>
            </w:r>
          </w:p>
        </w:tc>
      </w:tr>
      <w:tr w:rsidR="00227727" w:rsidRPr="00227727" w14:paraId="3654D580" w14:textId="77777777" w:rsidTr="00E772F3">
        <w:tc>
          <w:tcPr>
            <w:tcW w:w="0" w:type="auto"/>
            <w:hideMark/>
          </w:tcPr>
          <w:p w14:paraId="3FADCAB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Gender</w:t>
            </w:r>
          </w:p>
        </w:tc>
        <w:tc>
          <w:tcPr>
            <w:tcW w:w="0" w:type="auto"/>
            <w:hideMark/>
          </w:tcPr>
          <w:p w14:paraId="0947111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What is your gender?</w:t>
            </w:r>
          </w:p>
        </w:tc>
        <w:tc>
          <w:tcPr>
            <w:tcW w:w="0" w:type="auto"/>
            <w:hideMark/>
          </w:tcPr>
          <w:p w14:paraId="0666AEAB"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Male </w:t>
            </w:r>
          </w:p>
          <w:p w14:paraId="2C478268"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Female </w:t>
            </w:r>
          </w:p>
          <w:p w14:paraId="4E6290AB"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Prefer not to say</w:t>
            </w:r>
          </w:p>
        </w:tc>
      </w:tr>
      <w:tr w:rsidR="00227727" w:rsidRPr="00227727" w14:paraId="1493D7E9" w14:textId="77777777" w:rsidTr="00E772F3">
        <w:tc>
          <w:tcPr>
            <w:tcW w:w="0" w:type="auto"/>
            <w:hideMark/>
          </w:tcPr>
          <w:p w14:paraId="6F8F601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Age Group</w:t>
            </w:r>
          </w:p>
        </w:tc>
        <w:tc>
          <w:tcPr>
            <w:tcW w:w="0" w:type="auto"/>
            <w:hideMark/>
          </w:tcPr>
          <w:p w14:paraId="6A67702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What is your age group?</w:t>
            </w:r>
          </w:p>
        </w:tc>
        <w:tc>
          <w:tcPr>
            <w:tcW w:w="0" w:type="auto"/>
            <w:hideMark/>
          </w:tcPr>
          <w:p w14:paraId="1D479CB5"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Under 25 </w:t>
            </w:r>
          </w:p>
          <w:p w14:paraId="5F53993A"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25–34 </w:t>
            </w:r>
          </w:p>
          <w:p w14:paraId="252A3F3B"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35–44 </w:t>
            </w:r>
          </w:p>
          <w:p w14:paraId="60C88942"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45–54 </w:t>
            </w:r>
          </w:p>
          <w:p w14:paraId="0846861E"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55+</w:t>
            </w:r>
          </w:p>
        </w:tc>
      </w:tr>
      <w:tr w:rsidR="00227727" w:rsidRPr="00227727" w14:paraId="04BA71A6" w14:textId="77777777" w:rsidTr="00E772F3">
        <w:tc>
          <w:tcPr>
            <w:tcW w:w="0" w:type="auto"/>
            <w:hideMark/>
          </w:tcPr>
          <w:p w14:paraId="06CEC32A"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Educational Qualification</w:t>
            </w:r>
          </w:p>
        </w:tc>
        <w:tc>
          <w:tcPr>
            <w:tcW w:w="0" w:type="auto"/>
            <w:hideMark/>
          </w:tcPr>
          <w:p w14:paraId="4521DA9B"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What is your highest level of education?</w:t>
            </w:r>
          </w:p>
        </w:tc>
        <w:tc>
          <w:tcPr>
            <w:tcW w:w="0" w:type="auto"/>
            <w:hideMark/>
          </w:tcPr>
          <w:p w14:paraId="3ECC3690"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A-levels </w:t>
            </w:r>
          </w:p>
          <w:p w14:paraId="3B560C60"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GCSE </w:t>
            </w:r>
          </w:p>
          <w:p w14:paraId="6F25A573"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Bachelor’s Degree </w:t>
            </w:r>
          </w:p>
          <w:p w14:paraId="1249202C"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Master’s Degree </w:t>
            </w:r>
          </w:p>
          <w:p w14:paraId="1A63E0F9"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Doctorate</w:t>
            </w:r>
          </w:p>
        </w:tc>
      </w:tr>
      <w:tr w:rsidR="00227727" w:rsidRPr="00227727" w14:paraId="28C5BDF1" w14:textId="77777777" w:rsidTr="00E772F3">
        <w:tc>
          <w:tcPr>
            <w:tcW w:w="0" w:type="auto"/>
            <w:hideMark/>
          </w:tcPr>
          <w:p w14:paraId="7FA6A1D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Employment Duration at Organisation</w:t>
            </w:r>
          </w:p>
        </w:tc>
        <w:tc>
          <w:tcPr>
            <w:tcW w:w="0" w:type="auto"/>
            <w:hideMark/>
          </w:tcPr>
          <w:p w14:paraId="369B2885"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How long have you been employed at your current organisation?</w:t>
            </w:r>
          </w:p>
        </w:tc>
        <w:tc>
          <w:tcPr>
            <w:tcW w:w="0" w:type="auto"/>
            <w:hideMark/>
          </w:tcPr>
          <w:p w14:paraId="796E3C5F"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Less than 1 year </w:t>
            </w:r>
          </w:p>
          <w:p w14:paraId="150F0259"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1–3 years </w:t>
            </w:r>
          </w:p>
          <w:p w14:paraId="7BD9D124"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3–5 years </w:t>
            </w:r>
          </w:p>
          <w:p w14:paraId="6E3956D9"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5+ years</w:t>
            </w:r>
          </w:p>
        </w:tc>
      </w:tr>
      <w:tr w:rsidR="00227727" w:rsidRPr="00227727" w14:paraId="6C2A9C9A" w14:textId="77777777" w:rsidTr="00E772F3">
        <w:tc>
          <w:tcPr>
            <w:tcW w:w="0" w:type="auto"/>
            <w:hideMark/>
          </w:tcPr>
          <w:p w14:paraId="45148AC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Preferred Mode of Work</w:t>
            </w:r>
          </w:p>
        </w:tc>
        <w:tc>
          <w:tcPr>
            <w:tcW w:w="0" w:type="auto"/>
            <w:hideMark/>
          </w:tcPr>
          <w:p w14:paraId="401E133F"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What is your preferred mode of work?</w:t>
            </w:r>
          </w:p>
        </w:tc>
        <w:tc>
          <w:tcPr>
            <w:tcW w:w="0" w:type="auto"/>
            <w:hideMark/>
          </w:tcPr>
          <w:p w14:paraId="5CD52EE1"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Fully Office-Based </w:t>
            </w:r>
          </w:p>
          <w:p w14:paraId="79744327"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Fully Remote </w:t>
            </w:r>
          </w:p>
          <w:p w14:paraId="7C413210"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Hybrid</w:t>
            </w:r>
          </w:p>
        </w:tc>
      </w:tr>
      <w:tr w:rsidR="00227727" w:rsidRPr="00227727" w14:paraId="36474890" w14:textId="77777777" w:rsidTr="00E772F3">
        <w:tc>
          <w:tcPr>
            <w:tcW w:w="0" w:type="auto"/>
            <w:hideMark/>
          </w:tcPr>
          <w:p w14:paraId="39C6A579"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lastRenderedPageBreak/>
              <w:t>Previous Flexible Work Experience</w:t>
            </w:r>
          </w:p>
        </w:tc>
        <w:tc>
          <w:tcPr>
            <w:tcW w:w="0" w:type="auto"/>
            <w:hideMark/>
          </w:tcPr>
          <w:p w14:paraId="14C6F198"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Have you worked in a flexible work environment before joining this organisation?</w:t>
            </w:r>
          </w:p>
        </w:tc>
        <w:tc>
          <w:tcPr>
            <w:tcW w:w="0" w:type="auto"/>
            <w:hideMark/>
          </w:tcPr>
          <w:p w14:paraId="2F2F1781"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Yes </w:t>
            </w:r>
          </w:p>
          <w:p w14:paraId="3CA58E0C"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r w:rsidRPr="00227727">
              <w:rPr>
                <w:rFonts w:ascii="Arial" w:eastAsia="Times New Roman" w:hAnsi="Arial" w:cs="Arial"/>
                <w:sz w:val="22"/>
              </w:rPr>
              <w:t xml:space="preserve"> No</w:t>
            </w:r>
          </w:p>
        </w:tc>
      </w:tr>
    </w:tbl>
    <w:p w14:paraId="67B78CDC" w14:textId="77777777" w:rsidR="00227727" w:rsidRPr="00227727" w:rsidRDefault="00227727" w:rsidP="00227727">
      <w:pPr>
        <w:spacing w:line="360" w:lineRule="auto"/>
        <w:ind w:hanging="720"/>
        <w:rPr>
          <w:rFonts w:ascii="Arial" w:hAnsi="Arial" w:cs="Arial"/>
          <w:sz w:val="24"/>
          <w:szCs w:val="24"/>
        </w:rPr>
      </w:pPr>
    </w:p>
    <w:p w14:paraId="07A3B7E1" w14:textId="77777777" w:rsidR="00227727" w:rsidRPr="00227727" w:rsidRDefault="00227727" w:rsidP="00227727">
      <w:pPr>
        <w:spacing w:after="0" w:line="480" w:lineRule="auto"/>
        <w:rPr>
          <w:rFonts w:ascii="Arial" w:hAnsi="Arial" w:cs="Arial"/>
          <w:b/>
        </w:rPr>
      </w:pPr>
      <w:r w:rsidRPr="00227727">
        <w:rPr>
          <w:rFonts w:ascii="Arial" w:hAnsi="Arial" w:cs="Arial"/>
          <w:b/>
        </w:rPr>
        <w:t>Section B: Survey Items</w:t>
      </w:r>
    </w:p>
    <w:p w14:paraId="2ED1F20E" w14:textId="77777777" w:rsidR="00227727" w:rsidRPr="00227727" w:rsidRDefault="00227727" w:rsidP="00227727">
      <w:pPr>
        <w:tabs>
          <w:tab w:val="left" w:pos="3600"/>
        </w:tabs>
        <w:spacing w:after="0" w:line="360" w:lineRule="auto"/>
        <w:rPr>
          <w:rFonts w:ascii="Arial" w:hAnsi="Arial" w:cs="Arial"/>
          <w:sz w:val="24"/>
          <w:szCs w:val="24"/>
        </w:rPr>
      </w:pPr>
      <w:r w:rsidRPr="00227727">
        <w:rPr>
          <w:rFonts w:ascii="Arial" w:hAnsi="Arial" w:cs="Arial"/>
          <w:sz w:val="24"/>
          <w:szCs w:val="24"/>
        </w:rPr>
        <w:tab/>
        <w:t>1 = Strongly Disagree</w:t>
      </w:r>
    </w:p>
    <w:p w14:paraId="473FC938" w14:textId="77777777" w:rsidR="00227727" w:rsidRPr="00227727" w:rsidRDefault="00227727" w:rsidP="00227727">
      <w:pPr>
        <w:tabs>
          <w:tab w:val="left" w:pos="3600"/>
        </w:tabs>
        <w:spacing w:after="0" w:line="360" w:lineRule="auto"/>
        <w:rPr>
          <w:rFonts w:ascii="Arial" w:hAnsi="Arial" w:cs="Arial"/>
          <w:sz w:val="24"/>
          <w:szCs w:val="24"/>
        </w:rPr>
      </w:pPr>
      <w:r w:rsidRPr="00227727">
        <w:rPr>
          <w:rFonts w:ascii="Arial" w:hAnsi="Arial" w:cs="Arial"/>
          <w:sz w:val="24"/>
          <w:szCs w:val="24"/>
        </w:rPr>
        <w:tab/>
        <w:t>2 = Disagree</w:t>
      </w:r>
    </w:p>
    <w:p w14:paraId="751743C7" w14:textId="77777777" w:rsidR="00227727" w:rsidRPr="00227727" w:rsidRDefault="00227727" w:rsidP="00227727">
      <w:pPr>
        <w:tabs>
          <w:tab w:val="left" w:pos="3600"/>
        </w:tabs>
        <w:spacing w:after="0" w:line="360" w:lineRule="auto"/>
        <w:rPr>
          <w:rFonts w:ascii="Arial" w:hAnsi="Arial" w:cs="Arial"/>
          <w:sz w:val="24"/>
          <w:szCs w:val="24"/>
        </w:rPr>
      </w:pPr>
      <w:r w:rsidRPr="00227727">
        <w:rPr>
          <w:rFonts w:ascii="Arial" w:hAnsi="Arial" w:cs="Arial"/>
          <w:sz w:val="24"/>
          <w:szCs w:val="24"/>
        </w:rPr>
        <w:tab/>
        <w:t>3 = Neither Agree nor Disagree</w:t>
      </w:r>
    </w:p>
    <w:p w14:paraId="189032B7" w14:textId="77777777" w:rsidR="00227727" w:rsidRPr="00227727" w:rsidRDefault="00227727" w:rsidP="00227727">
      <w:pPr>
        <w:tabs>
          <w:tab w:val="left" w:pos="3600"/>
        </w:tabs>
        <w:spacing w:after="0" w:line="360" w:lineRule="auto"/>
        <w:rPr>
          <w:rFonts w:ascii="Arial" w:hAnsi="Arial" w:cs="Arial"/>
          <w:sz w:val="24"/>
          <w:szCs w:val="24"/>
        </w:rPr>
      </w:pPr>
      <w:r w:rsidRPr="00227727">
        <w:rPr>
          <w:rFonts w:ascii="Arial" w:hAnsi="Arial" w:cs="Arial"/>
          <w:sz w:val="24"/>
          <w:szCs w:val="24"/>
        </w:rPr>
        <w:tab/>
        <w:t>4 = Agree</w:t>
      </w:r>
    </w:p>
    <w:p w14:paraId="6EF64EE6" w14:textId="77777777" w:rsidR="00227727" w:rsidRPr="00227727" w:rsidRDefault="00227727" w:rsidP="00227727">
      <w:pPr>
        <w:tabs>
          <w:tab w:val="left" w:pos="3600"/>
        </w:tabs>
        <w:spacing w:after="0" w:line="360" w:lineRule="auto"/>
        <w:rPr>
          <w:rFonts w:ascii="Arial" w:hAnsi="Arial" w:cs="Arial"/>
          <w:sz w:val="24"/>
          <w:szCs w:val="24"/>
        </w:rPr>
      </w:pPr>
      <w:r w:rsidRPr="00227727">
        <w:rPr>
          <w:rFonts w:ascii="Arial" w:hAnsi="Arial" w:cs="Arial"/>
          <w:sz w:val="24"/>
          <w:szCs w:val="24"/>
        </w:rPr>
        <w:tab/>
        <w:t>5 = Strongly Agree</w:t>
      </w:r>
    </w:p>
    <w:tbl>
      <w:tblPr>
        <w:tblStyle w:val="ListTable6Colourful"/>
        <w:tblW w:w="0" w:type="auto"/>
        <w:tblLook w:val="0620" w:firstRow="1" w:lastRow="0" w:firstColumn="0" w:lastColumn="0" w:noHBand="1" w:noVBand="1"/>
      </w:tblPr>
      <w:tblGrid>
        <w:gridCol w:w="2127"/>
        <w:gridCol w:w="6609"/>
        <w:gridCol w:w="406"/>
        <w:gridCol w:w="406"/>
        <w:gridCol w:w="406"/>
        <w:gridCol w:w="406"/>
        <w:gridCol w:w="406"/>
      </w:tblGrid>
      <w:tr w:rsidR="00227727" w:rsidRPr="00227727" w14:paraId="76DC8111" w14:textId="77777777" w:rsidTr="00E772F3">
        <w:trPr>
          <w:cnfStyle w:val="100000000000" w:firstRow="1" w:lastRow="0" w:firstColumn="0" w:lastColumn="0" w:oddVBand="0" w:evenVBand="0" w:oddHBand="0" w:evenHBand="0" w:firstRowFirstColumn="0" w:firstRowLastColumn="0" w:lastRowFirstColumn="0" w:lastRowLastColumn="0"/>
        </w:trPr>
        <w:tc>
          <w:tcPr>
            <w:tcW w:w="0" w:type="auto"/>
            <w:hideMark/>
          </w:tcPr>
          <w:p w14:paraId="7A3DC523"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Variables</w:t>
            </w:r>
          </w:p>
        </w:tc>
        <w:tc>
          <w:tcPr>
            <w:tcW w:w="0" w:type="auto"/>
            <w:hideMark/>
          </w:tcPr>
          <w:p w14:paraId="2EC0CC06"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sz w:val="22"/>
              </w:rPr>
              <w:t>Survey Item/Question</w:t>
            </w:r>
          </w:p>
        </w:tc>
        <w:tc>
          <w:tcPr>
            <w:tcW w:w="0" w:type="auto"/>
            <w:hideMark/>
          </w:tcPr>
          <w:p w14:paraId="355FC2D8"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1</w:t>
            </w:r>
          </w:p>
        </w:tc>
        <w:tc>
          <w:tcPr>
            <w:tcW w:w="0" w:type="auto"/>
            <w:hideMark/>
          </w:tcPr>
          <w:p w14:paraId="35C2A8F1"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2</w:t>
            </w:r>
          </w:p>
        </w:tc>
        <w:tc>
          <w:tcPr>
            <w:tcW w:w="0" w:type="auto"/>
            <w:hideMark/>
          </w:tcPr>
          <w:p w14:paraId="07D8028A"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3</w:t>
            </w:r>
          </w:p>
        </w:tc>
        <w:tc>
          <w:tcPr>
            <w:tcW w:w="0" w:type="auto"/>
            <w:hideMark/>
          </w:tcPr>
          <w:p w14:paraId="04E62B92"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4</w:t>
            </w:r>
          </w:p>
        </w:tc>
        <w:tc>
          <w:tcPr>
            <w:tcW w:w="0" w:type="auto"/>
            <w:hideMark/>
          </w:tcPr>
          <w:p w14:paraId="0D2245CD" w14:textId="77777777" w:rsidR="00227727" w:rsidRPr="00227727" w:rsidRDefault="00227727" w:rsidP="00E772F3">
            <w:pPr>
              <w:spacing w:line="360" w:lineRule="auto"/>
              <w:jc w:val="center"/>
              <w:rPr>
                <w:rFonts w:ascii="Arial" w:eastAsia="Times New Roman" w:hAnsi="Arial" w:cs="Arial"/>
                <w:sz w:val="22"/>
              </w:rPr>
            </w:pPr>
            <w:r w:rsidRPr="00227727">
              <w:rPr>
                <w:rFonts w:ascii="Arial" w:eastAsia="Times New Roman" w:hAnsi="Arial" w:cs="Arial"/>
                <w:sz w:val="22"/>
              </w:rPr>
              <w:t>5</w:t>
            </w:r>
          </w:p>
        </w:tc>
      </w:tr>
      <w:tr w:rsidR="00227727" w:rsidRPr="00227727" w14:paraId="4FF3D090" w14:textId="77777777" w:rsidTr="00E772F3">
        <w:tc>
          <w:tcPr>
            <w:tcW w:w="0" w:type="auto"/>
            <w:hideMark/>
          </w:tcPr>
          <w:p w14:paraId="045060D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Smarter Working</w:t>
            </w:r>
          </w:p>
        </w:tc>
        <w:tc>
          <w:tcPr>
            <w:tcW w:w="0" w:type="auto"/>
            <w:hideMark/>
          </w:tcPr>
          <w:p w14:paraId="1A9FCEBB"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enjoy a degree of flexibility surrounding how, where and when I perform my work.</w:t>
            </w:r>
          </w:p>
        </w:tc>
        <w:tc>
          <w:tcPr>
            <w:tcW w:w="0" w:type="auto"/>
            <w:vAlign w:val="center"/>
            <w:hideMark/>
          </w:tcPr>
          <w:p w14:paraId="7FCA9F5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B50C546"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4ACC61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338ABB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0203DE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5EDD4172" w14:textId="77777777" w:rsidTr="00E772F3">
        <w:tc>
          <w:tcPr>
            <w:tcW w:w="0" w:type="auto"/>
            <w:hideMark/>
          </w:tcPr>
          <w:p w14:paraId="5794F1A3"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0806E571"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believe flexibility surrounding how, where and when to work increases performance at work.</w:t>
            </w:r>
          </w:p>
        </w:tc>
        <w:tc>
          <w:tcPr>
            <w:tcW w:w="0" w:type="auto"/>
            <w:vAlign w:val="center"/>
            <w:hideMark/>
          </w:tcPr>
          <w:p w14:paraId="0B9CD0C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A01588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0ACFEE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7BC3DB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B99304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64D56C2C" w14:textId="77777777" w:rsidTr="00E772F3">
        <w:tc>
          <w:tcPr>
            <w:tcW w:w="0" w:type="auto"/>
            <w:hideMark/>
          </w:tcPr>
          <w:p w14:paraId="69249AB6"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3C503253"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believe smart working practices result in significant cost savings for both employers and employees.</w:t>
            </w:r>
          </w:p>
        </w:tc>
        <w:tc>
          <w:tcPr>
            <w:tcW w:w="0" w:type="auto"/>
            <w:vAlign w:val="center"/>
            <w:hideMark/>
          </w:tcPr>
          <w:p w14:paraId="6BA77DC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392380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B7B550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57AD9F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509D24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65CE8D8A" w14:textId="77777777" w:rsidTr="00E772F3">
        <w:tc>
          <w:tcPr>
            <w:tcW w:w="0" w:type="auto"/>
            <w:hideMark/>
          </w:tcPr>
          <w:p w14:paraId="6AA3C786"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282A3CF8"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believe that smart working offers a valid alternative to fixed office work.</w:t>
            </w:r>
          </w:p>
        </w:tc>
        <w:tc>
          <w:tcPr>
            <w:tcW w:w="0" w:type="auto"/>
            <w:vAlign w:val="center"/>
            <w:hideMark/>
          </w:tcPr>
          <w:p w14:paraId="7771AF0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F54EE4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845AC9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3FB5A2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CBD50B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6008CB6D" w14:textId="77777777" w:rsidTr="00E772F3">
        <w:tc>
          <w:tcPr>
            <w:tcW w:w="0" w:type="auto"/>
            <w:hideMark/>
          </w:tcPr>
          <w:p w14:paraId="4018DA26"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1475B6AE"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believe offering smart working practices makes the organisation more productive.</w:t>
            </w:r>
          </w:p>
        </w:tc>
        <w:tc>
          <w:tcPr>
            <w:tcW w:w="0" w:type="auto"/>
            <w:vAlign w:val="center"/>
            <w:hideMark/>
          </w:tcPr>
          <w:p w14:paraId="02EDE0A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ACFCC9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0E8B4F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A735F1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713DCC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60707C3B" w14:textId="77777777" w:rsidTr="00E772F3">
        <w:tc>
          <w:tcPr>
            <w:tcW w:w="0" w:type="auto"/>
            <w:hideMark/>
          </w:tcPr>
          <w:p w14:paraId="4C710357"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269A0C48"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believe that the smart-working practices implemented is a choice born by necessity and urgency.  </w:t>
            </w:r>
          </w:p>
        </w:tc>
        <w:tc>
          <w:tcPr>
            <w:tcW w:w="0" w:type="auto"/>
            <w:vAlign w:val="center"/>
            <w:hideMark/>
          </w:tcPr>
          <w:p w14:paraId="7ED5DA4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D24CC5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7C0C02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898BD8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6AC060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00C069DA" w14:textId="77777777" w:rsidTr="00E772F3">
        <w:tc>
          <w:tcPr>
            <w:tcW w:w="0" w:type="auto"/>
            <w:hideMark/>
          </w:tcPr>
          <w:p w14:paraId="565AD207"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Job Stress</w:t>
            </w:r>
          </w:p>
        </w:tc>
        <w:tc>
          <w:tcPr>
            <w:tcW w:w="0" w:type="auto"/>
            <w:hideMark/>
          </w:tcPr>
          <w:p w14:paraId="75383446"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color w:val="000000"/>
                <w:sz w:val="22"/>
              </w:rPr>
              <w:t>I feel I can meet my deadlines in my current role.</w:t>
            </w:r>
            <w:r w:rsidRPr="00227727" w:rsidDel="00510FC3">
              <w:rPr>
                <w:rFonts w:ascii="Arial" w:hAnsi="Arial" w:cs="Arial"/>
                <w:sz w:val="22"/>
              </w:rPr>
              <w:t xml:space="preserve"> </w:t>
            </w:r>
          </w:p>
        </w:tc>
        <w:tc>
          <w:tcPr>
            <w:tcW w:w="0" w:type="auto"/>
            <w:vAlign w:val="center"/>
            <w:hideMark/>
          </w:tcPr>
          <w:p w14:paraId="083A6A8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416662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A59080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496FBE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F4A4ED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2D690482" w14:textId="77777777" w:rsidTr="00E772F3">
        <w:tc>
          <w:tcPr>
            <w:tcW w:w="0" w:type="auto"/>
            <w:hideMark/>
          </w:tcPr>
          <w:p w14:paraId="70A98372"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32248F8C"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feel my supervisor or manager takes my views into consideration.</w:t>
            </w:r>
          </w:p>
        </w:tc>
        <w:tc>
          <w:tcPr>
            <w:tcW w:w="0" w:type="auto"/>
            <w:vAlign w:val="center"/>
            <w:hideMark/>
          </w:tcPr>
          <w:p w14:paraId="3FA3B8B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6F2099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E65C54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14E518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49B1B0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42357190" w14:textId="77777777" w:rsidTr="00E772F3">
        <w:tc>
          <w:tcPr>
            <w:tcW w:w="0" w:type="auto"/>
            <w:hideMark/>
          </w:tcPr>
          <w:p w14:paraId="30DEB9B5"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6B871D5B"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can decide the pace at which I work.</w:t>
            </w:r>
            <w:r w:rsidRPr="00227727" w:rsidDel="00CF4711">
              <w:rPr>
                <w:rFonts w:ascii="Arial" w:hAnsi="Arial" w:cs="Arial"/>
                <w:sz w:val="22"/>
              </w:rPr>
              <w:t xml:space="preserve"> </w:t>
            </w:r>
          </w:p>
        </w:tc>
        <w:tc>
          <w:tcPr>
            <w:tcW w:w="0" w:type="auto"/>
            <w:vAlign w:val="center"/>
            <w:hideMark/>
          </w:tcPr>
          <w:p w14:paraId="397E2CA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883375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CEFD5E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7EF01E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7299B3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409E3EC4" w14:textId="77777777" w:rsidTr="00E772F3">
        <w:tc>
          <w:tcPr>
            <w:tcW w:w="0" w:type="auto"/>
            <w:hideMark/>
          </w:tcPr>
          <w:p w14:paraId="17528B90"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54C0DC84"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clearly understand what is expected of me at work.</w:t>
            </w:r>
          </w:p>
        </w:tc>
        <w:tc>
          <w:tcPr>
            <w:tcW w:w="0" w:type="auto"/>
            <w:vAlign w:val="center"/>
            <w:hideMark/>
          </w:tcPr>
          <w:p w14:paraId="05D89F8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26DB7C4"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62FC85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225D8A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0F420E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73AECEEB" w14:textId="77777777" w:rsidTr="00E772F3">
        <w:tc>
          <w:tcPr>
            <w:tcW w:w="0" w:type="auto"/>
            <w:hideMark/>
          </w:tcPr>
          <w:p w14:paraId="11DAB5AE"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0E788AD6"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perceive a lack of clarity in my tasks as stressful.</w:t>
            </w:r>
          </w:p>
        </w:tc>
        <w:tc>
          <w:tcPr>
            <w:tcW w:w="0" w:type="auto"/>
            <w:vAlign w:val="center"/>
            <w:hideMark/>
          </w:tcPr>
          <w:p w14:paraId="4172F72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281657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91E8A8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3B63AE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0FDCD04"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368C170C" w14:textId="77777777" w:rsidTr="00E772F3">
        <w:tc>
          <w:tcPr>
            <w:tcW w:w="0" w:type="auto"/>
            <w:hideMark/>
          </w:tcPr>
          <w:p w14:paraId="1444FD9E"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35C24D9F"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know who is responsible for making key decisions at my workplace.</w:t>
            </w:r>
          </w:p>
        </w:tc>
        <w:tc>
          <w:tcPr>
            <w:tcW w:w="0" w:type="auto"/>
            <w:vAlign w:val="center"/>
            <w:hideMark/>
          </w:tcPr>
          <w:p w14:paraId="7A28A194"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3CB9C4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537573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718AEE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8FA549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62CDDEAA" w14:textId="77777777" w:rsidTr="00E772F3">
        <w:tc>
          <w:tcPr>
            <w:tcW w:w="0" w:type="auto"/>
            <w:hideMark/>
          </w:tcPr>
          <w:p w14:paraId="375CFA4E"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04FB5F1A"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perceive uncertainty around decision-making as stressful.</w:t>
            </w:r>
          </w:p>
        </w:tc>
        <w:tc>
          <w:tcPr>
            <w:tcW w:w="0" w:type="auto"/>
            <w:vAlign w:val="center"/>
            <w:hideMark/>
          </w:tcPr>
          <w:p w14:paraId="3A7C16F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58A46F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4D0686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A4179D4"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CEB8804"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5CF05B7E" w14:textId="77777777" w:rsidTr="00E772F3">
        <w:tc>
          <w:tcPr>
            <w:tcW w:w="0" w:type="auto"/>
            <w:hideMark/>
          </w:tcPr>
          <w:p w14:paraId="0EE3F81A"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5AB1B6D7" w14:textId="5641E7A4"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When conflicts arise at work, I </w:t>
            </w:r>
            <w:r w:rsidR="00693454" w:rsidRPr="00227727">
              <w:rPr>
                <w:rFonts w:ascii="Arial" w:hAnsi="Arial" w:cs="Arial"/>
                <w:sz w:val="22"/>
              </w:rPr>
              <w:t>can</w:t>
            </w:r>
            <w:r w:rsidRPr="00227727">
              <w:rPr>
                <w:rFonts w:ascii="Arial" w:hAnsi="Arial" w:cs="Arial"/>
                <w:sz w:val="22"/>
              </w:rPr>
              <w:t xml:space="preserve"> resolve them amicably.</w:t>
            </w:r>
          </w:p>
        </w:tc>
        <w:tc>
          <w:tcPr>
            <w:tcW w:w="0" w:type="auto"/>
            <w:vAlign w:val="center"/>
            <w:hideMark/>
          </w:tcPr>
          <w:p w14:paraId="6EC0353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EC55F8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4EED03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8B7298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5C0B51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0A5E22F9" w14:textId="77777777" w:rsidTr="00E772F3">
        <w:tc>
          <w:tcPr>
            <w:tcW w:w="0" w:type="auto"/>
            <w:hideMark/>
          </w:tcPr>
          <w:p w14:paraId="0BF2E1B2"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7FC912DF"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color w:val="151D19"/>
                <w:sz w:val="22"/>
                <w:highlight w:val="white"/>
              </w:rPr>
              <w:t>I hold myself to a high standard at work.</w:t>
            </w:r>
          </w:p>
        </w:tc>
        <w:tc>
          <w:tcPr>
            <w:tcW w:w="0" w:type="auto"/>
            <w:vAlign w:val="center"/>
            <w:hideMark/>
          </w:tcPr>
          <w:p w14:paraId="5FE5F17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36D573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4B6E16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6F1BD6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2FCE15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50128FF0" w14:textId="77777777" w:rsidTr="00E772F3">
        <w:tc>
          <w:tcPr>
            <w:tcW w:w="0" w:type="auto"/>
            <w:hideMark/>
          </w:tcPr>
          <w:p w14:paraId="587065CD"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6AFE3DEA"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find myself thinking about work after my working hours</w:t>
            </w:r>
          </w:p>
        </w:tc>
        <w:tc>
          <w:tcPr>
            <w:tcW w:w="0" w:type="auto"/>
            <w:vAlign w:val="center"/>
            <w:hideMark/>
          </w:tcPr>
          <w:p w14:paraId="369A2F0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40BAE8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F347D9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BC1E07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7CC34C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0DB91613" w14:textId="77777777" w:rsidTr="00E772F3">
        <w:tc>
          <w:tcPr>
            <w:tcW w:w="0" w:type="auto"/>
            <w:hideMark/>
          </w:tcPr>
          <w:p w14:paraId="7328C081" w14:textId="77777777" w:rsidR="00227727" w:rsidRPr="00227727" w:rsidRDefault="00227727" w:rsidP="00E772F3">
            <w:pPr>
              <w:spacing w:line="360" w:lineRule="auto"/>
              <w:rPr>
                <w:rFonts w:ascii="Arial" w:eastAsia="Times New Roman" w:hAnsi="Arial" w:cs="Arial"/>
                <w:sz w:val="22"/>
              </w:rPr>
            </w:pPr>
            <w:r w:rsidRPr="00227727">
              <w:rPr>
                <w:rFonts w:ascii="Arial" w:eastAsia="Times New Roman" w:hAnsi="Arial" w:cs="Arial"/>
                <w:b/>
                <w:bCs/>
                <w:sz w:val="22"/>
              </w:rPr>
              <w:t>Job Satisfaction</w:t>
            </w:r>
          </w:p>
        </w:tc>
        <w:tc>
          <w:tcPr>
            <w:tcW w:w="0" w:type="auto"/>
            <w:hideMark/>
          </w:tcPr>
          <w:p w14:paraId="7D6DF84A"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am happy with my current salary. </w:t>
            </w:r>
          </w:p>
        </w:tc>
        <w:tc>
          <w:tcPr>
            <w:tcW w:w="0" w:type="auto"/>
            <w:vAlign w:val="center"/>
            <w:hideMark/>
          </w:tcPr>
          <w:p w14:paraId="7EDB309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9E3AE2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E9CE8E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49FE4D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51B272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4AA73186" w14:textId="77777777" w:rsidTr="00E772F3">
        <w:tc>
          <w:tcPr>
            <w:tcW w:w="0" w:type="auto"/>
            <w:hideMark/>
          </w:tcPr>
          <w:p w14:paraId="10909EC3"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172759BC"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value the flexible nature of my work.</w:t>
            </w:r>
          </w:p>
        </w:tc>
        <w:tc>
          <w:tcPr>
            <w:tcW w:w="0" w:type="auto"/>
            <w:vAlign w:val="center"/>
            <w:hideMark/>
          </w:tcPr>
          <w:p w14:paraId="5BAA524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023EEA6"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D87234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460635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0D085B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54CE91EE" w14:textId="77777777" w:rsidTr="00E772F3">
        <w:tc>
          <w:tcPr>
            <w:tcW w:w="0" w:type="auto"/>
            <w:hideMark/>
          </w:tcPr>
          <w:p w14:paraId="0B23AC50"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7296293D"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find my work matches with my aspirations and skill set.</w:t>
            </w:r>
          </w:p>
        </w:tc>
        <w:tc>
          <w:tcPr>
            <w:tcW w:w="0" w:type="auto"/>
            <w:vAlign w:val="center"/>
            <w:hideMark/>
          </w:tcPr>
          <w:p w14:paraId="05B9018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57B340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288216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B752D2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95108E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1F7EAE2B" w14:textId="77777777" w:rsidTr="00E772F3">
        <w:tc>
          <w:tcPr>
            <w:tcW w:w="0" w:type="auto"/>
            <w:hideMark/>
          </w:tcPr>
          <w:p w14:paraId="13C12A69"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7484B48A"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find the culture at my workplace to be friendly and welcoming.</w:t>
            </w:r>
          </w:p>
        </w:tc>
        <w:tc>
          <w:tcPr>
            <w:tcW w:w="0" w:type="auto"/>
            <w:vAlign w:val="center"/>
            <w:hideMark/>
          </w:tcPr>
          <w:p w14:paraId="220F0D64"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6818786"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239037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04783C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297AAC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23FBAE82" w14:textId="77777777" w:rsidTr="00E772F3">
        <w:tc>
          <w:tcPr>
            <w:tcW w:w="0" w:type="auto"/>
            <w:hideMark/>
          </w:tcPr>
          <w:p w14:paraId="59EC79BE"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60074ADC"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appreciate the respect, understanding and support shown by my organisation toward my family responsibilities.</w:t>
            </w:r>
          </w:p>
        </w:tc>
        <w:tc>
          <w:tcPr>
            <w:tcW w:w="0" w:type="auto"/>
            <w:vAlign w:val="center"/>
            <w:hideMark/>
          </w:tcPr>
          <w:p w14:paraId="12CFB5C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57DAE0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189D30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F718BE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2103CD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7CD5DA34" w14:textId="77777777" w:rsidTr="00E772F3">
        <w:tc>
          <w:tcPr>
            <w:tcW w:w="0" w:type="auto"/>
            <w:hideMark/>
          </w:tcPr>
          <w:p w14:paraId="096286A6"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23D4447B"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have not experienced any discrimination at work.</w:t>
            </w:r>
          </w:p>
        </w:tc>
        <w:tc>
          <w:tcPr>
            <w:tcW w:w="0" w:type="auto"/>
            <w:vAlign w:val="center"/>
            <w:hideMark/>
          </w:tcPr>
          <w:p w14:paraId="2153E2A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A2BBEF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B4A0BC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2B3C444"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57D23D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355A1DBC" w14:textId="77777777" w:rsidTr="00E772F3">
        <w:tc>
          <w:tcPr>
            <w:tcW w:w="0" w:type="auto"/>
            <w:hideMark/>
          </w:tcPr>
          <w:p w14:paraId="332105F0"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14ED8435"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regularly exceed expectations at work</w:t>
            </w:r>
          </w:p>
        </w:tc>
        <w:tc>
          <w:tcPr>
            <w:tcW w:w="0" w:type="auto"/>
            <w:vAlign w:val="center"/>
            <w:hideMark/>
          </w:tcPr>
          <w:p w14:paraId="76F5ABA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9C84EE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4872D1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0DA726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7647E9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1424B3F8" w14:textId="77777777" w:rsidTr="00E772F3">
        <w:tc>
          <w:tcPr>
            <w:tcW w:w="0" w:type="auto"/>
            <w:hideMark/>
          </w:tcPr>
          <w:p w14:paraId="5D3380D3"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1BE1FC17"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feel a sense of belonging and acceptance at work.</w:t>
            </w:r>
          </w:p>
        </w:tc>
        <w:tc>
          <w:tcPr>
            <w:tcW w:w="0" w:type="auto"/>
            <w:vAlign w:val="center"/>
            <w:hideMark/>
          </w:tcPr>
          <w:p w14:paraId="4790C53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7EB888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1E28FC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BB3414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6DC152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7E303712" w14:textId="77777777" w:rsidTr="00E772F3">
        <w:tc>
          <w:tcPr>
            <w:tcW w:w="0" w:type="auto"/>
            <w:hideMark/>
          </w:tcPr>
          <w:p w14:paraId="5F18DE0D"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580B71F6"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understand the organisation’s strategic direction.</w:t>
            </w:r>
          </w:p>
        </w:tc>
        <w:tc>
          <w:tcPr>
            <w:tcW w:w="0" w:type="auto"/>
            <w:vAlign w:val="center"/>
            <w:hideMark/>
          </w:tcPr>
          <w:p w14:paraId="4A1FD10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1A280D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23476C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1BE0B5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2C4AD1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3DF158E2" w14:textId="77777777" w:rsidTr="00E772F3">
        <w:tc>
          <w:tcPr>
            <w:tcW w:w="0" w:type="auto"/>
            <w:hideMark/>
          </w:tcPr>
          <w:p w14:paraId="1ABDB2D7"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7A829AF9"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color w:val="151D19"/>
                <w:sz w:val="22"/>
                <w:highlight w:val="white"/>
              </w:rPr>
              <w:t xml:space="preserve">I’d happily refer a friend to work for this </w:t>
            </w:r>
            <w:r w:rsidRPr="00227727">
              <w:rPr>
                <w:rFonts w:ascii="Arial" w:hAnsi="Arial" w:cs="Arial"/>
                <w:color w:val="151D19"/>
                <w:sz w:val="22"/>
              </w:rPr>
              <w:t>company</w:t>
            </w:r>
            <w:r w:rsidRPr="00227727">
              <w:rPr>
                <w:rFonts w:ascii="Arial" w:hAnsi="Arial" w:cs="Arial"/>
                <w:sz w:val="22"/>
              </w:rPr>
              <w:t>.</w:t>
            </w:r>
          </w:p>
        </w:tc>
        <w:tc>
          <w:tcPr>
            <w:tcW w:w="0" w:type="auto"/>
            <w:vAlign w:val="center"/>
            <w:hideMark/>
          </w:tcPr>
          <w:p w14:paraId="7F803D7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5C3C7F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2DC1E2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17ED2D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96BF70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0A03B9FE" w14:textId="77777777" w:rsidTr="00E772F3">
        <w:tc>
          <w:tcPr>
            <w:tcW w:w="0" w:type="auto"/>
            <w:hideMark/>
          </w:tcPr>
          <w:p w14:paraId="6EEBAD17" w14:textId="77777777" w:rsidR="00227727" w:rsidRPr="00227727" w:rsidRDefault="00227727" w:rsidP="00E772F3">
            <w:pPr>
              <w:spacing w:line="360" w:lineRule="auto"/>
              <w:rPr>
                <w:rFonts w:ascii="Arial" w:eastAsia="Times New Roman" w:hAnsi="Arial" w:cs="Arial"/>
                <w:b/>
                <w:sz w:val="22"/>
              </w:rPr>
            </w:pPr>
            <w:r w:rsidRPr="00227727">
              <w:rPr>
                <w:rFonts w:ascii="Arial" w:eastAsia="Times New Roman" w:hAnsi="Arial" w:cs="Arial"/>
                <w:b/>
                <w:sz w:val="22"/>
              </w:rPr>
              <w:t>Psychological Wellbeing</w:t>
            </w:r>
          </w:p>
        </w:tc>
        <w:tc>
          <w:tcPr>
            <w:tcW w:w="0" w:type="auto"/>
            <w:hideMark/>
          </w:tcPr>
          <w:p w14:paraId="625C4723"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easily adapt to the day-to-day changes in my life and manage my responsibilities well. </w:t>
            </w:r>
          </w:p>
        </w:tc>
        <w:tc>
          <w:tcPr>
            <w:tcW w:w="0" w:type="auto"/>
            <w:vAlign w:val="center"/>
            <w:hideMark/>
          </w:tcPr>
          <w:p w14:paraId="0921E64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48B0B9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548F16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A62E4C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EEE60C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4C69F214" w14:textId="77777777" w:rsidTr="00E772F3">
        <w:tc>
          <w:tcPr>
            <w:tcW w:w="0" w:type="auto"/>
            <w:hideMark/>
          </w:tcPr>
          <w:p w14:paraId="4C02F6E0"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28C5D2A8"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focus on what is important to me, rather than prioritising what is important to others. </w:t>
            </w:r>
          </w:p>
        </w:tc>
        <w:tc>
          <w:tcPr>
            <w:tcW w:w="0" w:type="auto"/>
            <w:vAlign w:val="center"/>
            <w:hideMark/>
          </w:tcPr>
          <w:p w14:paraId="482F445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85E424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3219B3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B4CB61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8F28F2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54C4F5BE" w14:textId="77777777" w:rsidTr="00E772F3">
        <w:tc>
          <w:tcPr>
            <w:tcW w:w="0" w:type="auto"/>
            <w:hideMark/>
          </w:tcPr>
          <w:p w14:paraId="1778C43B"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0F0CD28B"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understand the work expectations placed on me. </w:t>
            </w:r>
          </w:p>
        </w:tc>
        <w:tc>
          <w:tcPr>
            <w:tcW w:w="0" w:type="auto"/>
            <w:vAlign w:val="center"/>
            <w:hideMark/>
          </w:tcPr>
          <w:p w14:paraId="79F5E06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8AFD62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CB8135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CCB347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AA8B21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00D86716" w14:textId="77777777" w:rsidTr="00E772F3">
        <w:tc>
          <w:tcPr>
            <w:tcW w:w="0" w:type="auto"/>
            <w:hideMark/>
          </w:tcPr>
          <w:p w14:paraId="23146E9D"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61E448C9"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feel confident in my ability to make decision. </w:t>
            </w:r>
          </w:p>
        </w:tc>
        <w:tc>
          <w:tcPr>
            <w:tcW w:w="0" w:type="auto"/>
            <w:vAlign w:val="center"/>
            <w:hideMark/>
          </w:tcPr>
          <w:p w14:paraId="0DC9395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BAA5F4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21707D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895323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EB3BFF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6DD4E790" w14:textId="77777777" w:rsidTr="00E772F3">
        <w:tc>
          <w:tcPr>
            <w:tcW w:w="0" w:type="auto"/>
            <w:hideMark/>
          </w:tcPr>
          <w:p w14:paraId="08F77051"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179C852F"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sometimes feel depressed due to the stress and demands of daily life. </w:t>
            </w:r>
          </w:p>
        </w:tc>
        <w:tc>
          <w:tcPr>
            <w:tcW w:w="0" w:type="auto"/>
            <w:vAlign w:val="center"/>
            <w:hideMark/>
          </w:tcPr>
          <w:p w14:paraId="6AAE0C1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211BBE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D629FB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B958FD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3BCD21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00A97E77" w14:textId="77777777" w:rsidTr="00E772F3">
        <w:tc>
          <w:tcPr>
            <w:tcW w:w="0" w:type="auto"/>
            <w:hideMark/>
          </w:tcPr>
          <w:p w14:paraId="1BC48164"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5CA49964"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believe that I have a clear purpose and direction at work. </w:t>
            </w:r>
          </w:p>
        </w:tc>
        <w:tc>
          <w:tcPr>
            <w:tcW w:w="0" w:type="auto"/>
            <w:vAlign w:val="center"/>
            <w:hideMark/>
          </w:tcPr>
          <w:p w14:paraId="319D76C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0E2AE4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3438DB1"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19F7AD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E398B7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0159C478" w14:textId="77777777" w:rsidTr="00E772F3">
        <w:tc>
          <w:tcPr>
            <w:tcW w:w="0" w:type="auto"/>
            <w:hideMark/>
          </w:tcPr>
          <w:p w14:paraId="01654592"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252A9735"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color w:val="000000"/>
                <w:sz w:val="22"/>
              </w:rPr>
              <w:t>I’m confident in who I am.</w:t>
            </w:r>
          </w:p>
        </w:tc>
        <w:tc>
          <w:tcPr>
            <w:tcW w:w="0" w:type="auto"/>
            <w:vAlign w:val="center"/>
            <w:hideMark/>
          </w:tcPr>
          <w:p w14:paraId="6DF78ED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D2F198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2F3C656"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D0C86B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499F506"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5DE5A7F4" w14:textId="77777777" w:rsidTr="00E772F3">
        <w:tc>
          <w:tcPr>
            <w:tcW w:w="0" w:type="auto"/>
            <w:hideMark/>
          </w:tcPr>
          <w:p w14:paraId="6BD2E889" w14:textId="77777777" w:rsidR="00227727" w:rsidRPr="00227727" w:rsidRDefault="00227727" w:rsidP="00E772F3">
            <w:pPr>
              <w:spacing w:line="360" w:lineRule="auto"/>
              <w:rPr>
                <w:rFonts w:ascii="Arial" w:eastAsia="Times New Roman" w:hAnsi="Arial" w:cs="Arial"/>
                <w:b/>
                <w:sz w:val="22"/>
              </w:rPr>
            </w:pPr>
            <w:r w:rsidRPr="00227727">
              <w:rPr>
                <w:rFonts w:ascii="Arial" w:eastAsia="Times New Roman" w:hAnsi="Arial" w:cs="Arial"/>
                <w:b/>
                <w:sz w:val="22"/>
              </w:rPr>
              <w:t>Job Performance</w:t>
            </w:r>
          </w:p>
        </w:tc>
        <w:tc>
          <w:tcPr>
            <w:tcW w:w="0" w:type="auto"/>
            <w:hideMark/>
          </w:tcPr>
          <w:p w14:paraId="152FD1C6"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plan out my tasks before I start.</w:t>
            </w:r>
          </w:p>
        </w:tc>
        <w:tc>
          <w:tcPr>
            <w:tcW w:w="0" w:type="auto"/>
            <w:vAlign w:val="center"/>
            <w:hideMark/>
          </w:tcPr>
          <w:p w14:paraId="668F5D7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50265F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80EA19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45A67D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B4F57B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269B530A" w14:textId="77777777" w:rsidTr="00E772F3">
        <w:tc>
          <w:tcPr>
            <w:tcW w:w="0" w:type="auto"/>
            <w:hideMark/>
          </w:tcPr>
          <w:p w14:paraId="4E69219E"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323B8C68"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accomplish the tasks I set for myself.</w:t>
            </w:r>
          </w:p>
        </w:tc>
        <w:tc>
          <w:tcPr>
            <w:tcW w:w="0" w:type="auto"/>
            <w:vAlign w:val="center"/>
            <w:hideMark/>
          </w:tcPr>
          <w:p w14:paraId="31863BB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5AE7FDB"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26B9EE5"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5BB82B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592AA4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1D4DCE51" w14:textId="77777777" w:rsidTr="00E772F3">
        <w:tc>
          <w:tcPr>
            <w:tcW w:w="0" w:type="auto"/>
            <w:hideMark/>
          </w:tcPr>
          <w:p w14:paraId="2FCD7A08"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78CF3EBF" w14:textId="43C78908"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 xml:space="preserve">I </w:t>
            </w:r>
            <w:r w:rsidR="00693454" w:rsidRPr="00227727">
              <w:rPr>
                <w:rFonts w:ascii="Arial" w:hAnsi="Arial" w:cs="Arial"/>
                <w:sz w:val="22"/>
              </w:rPr>
              <w:t>can</w:t>
            </w:r>
            <w:r w:rsidRPr="00227727">
              <w:rPr>
                <w:rFonts w:ascii="Arial" w:hAnsi="Arial" w:cs="Arial"/>
                <w:sz w:val="22"/>
              </w:rPr>
              <w:t xml:space="preserve"> prioritise my tasks.</w:t>
            </w:r>
          </w:p>
        </w:tc>
        <w:tc>
          <w:tcPr>
            <w:tcW w:w="0" w:type="auto"/>
            <w:vAlign w:val="center"/>
            <w:hideMark/>
          </w:tcPr>
          <w:p w14:paraId="41A72E48"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5A7549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F65669F"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01EB0F6"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477A6F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03925C69" w14:textId="77777777" w:rsidTr="00E772F3">
        <w:tc>
          <w:tcPr>
            <w:tcW w:w="0" w:type="auto"/>
            <w:hideMark/>
          </w:tcPr>
          <w:p w14:paraId="4CF0B8D1"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49EEF707"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take on challenging tasks when they were available.</w:t>
            </w:r>
          </w:p>
        </w:tc>
        <w:tc>
          <w:tcPr>
            <w:tcW w:w="0" w:type="auto"/>
            <w:vAlign w:val="center"/>
            <w:hideMark/>
          </w:tcPr>
          <w:p w14:paraId="6F879DD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0BFE45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CA82C09"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AAE18D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3FC5D4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3E70C272" w14:textId="77777777" w:rsidTr="00E772F3">
        <w:tc>
          <w:tcPr>
            <w:tcW w:w="0" w:type="auto"/>
            <w:hideMark/>
          </w:tcPr>
          <w:p w14:paraId="20EFDACC"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2CA995DC"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come up with creative solutions to address problems.</w:t>
            </w:r>
          </w:p>
        </w:tc>
        <w:tc>
          <w:tcPr>
            <w:tcW w:w="0" w:type="auto"/>
            <w:vAlign w:val="center"/>
            <w:hideMark/>
          </w:tcPr>
          <w:p w14:paraId="00E6D2EC"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2364B7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7FA537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096036BD"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B20A54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4B253CE5" w14:textId="77777777" w:rsidTr="00E772F3">
        <w:tc>
          <w:tcPr>
            <w:tcW w:w="0" w:type="auto"/>
            <w:hideMark/>
          </w:tcPr>
          <w:p w14:paraId="06E077B8"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6C5D7B53"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take on extra responsibilities when an opportunity presents itself.</w:t>
            </w:r>
          </w:p>
        </w:tc>
        <w:tc>
          <w:tcPr>
            <w:tcW w:w="0" w:type="auto"/>
            <w:vAlign w:val="center"/>
            <w:hideMark/>
          </w:tcPr>
          <w:p w14:paraId="595102C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13E58902"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67C5C1FA"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28AF932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2ABFD6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58603438" w14:textId="77777777" w:rsidTr="00E772F3">
        <w:tc>
          <w:tcPr>
            <w:tcW w:w="0" w:type="auto"/>
            <w:hideMark/>
          </w:tcPr>
          <w:p w14:paraId="6E9E0D5B"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4073590A"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I actively participate in meetings and discussions.</w:t>
            </w:r>
          </w:p>
        </w:tc>
        <w:tc>
          <w:tcPr>
            <w:tcW w:w="0" w:type="auto"/>
            <w:vAlign w:val="center"/>
            <w:hideMark/>
          </w:tcPr>
          <w:p w14:paraId="242BAD93"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3AAEAB2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59E9E830"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7D7D6987"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c>
          <w:tcPr>
            <w:tcW w:w="0" w:type="auto"/>
            <w:vAlign w:val="center"/>
            <w:hideMark/>
          </w:tcPr>
          <w:p w14:paraId="4F46560E" w14:textId="77777777" w:rsidR="00227727" w:rsidRPr="00227727" w:rsidRDefault="00227727" w:rsidP="00E772F3">
            <w:pPr>
              <w:spacing w:line="360" w:lineRule="auto"/>
              <w:rPr>
                <w:rFonts w:ascii="Arial" w:eastAsia="Times New Roman" w:hAnsi="Arial" w:cs="Arial"/>
                <w:sz w:val="22"/>
              </w:rPr>
            </w:pPr>
            <w:r w:rsidRPr="00227727">
              <w:rPr>
                <w:rFonts w:ascii="Segoe UI Symbol" w:hAnsi="Segoe UI Symbol" w:cs="Segoe UI Symbol"/>
                <w:sz w:val="22"/>
              </w:rPr>
              <w:t>☐</w:t>
            </w:r>
          </w:p>
        </w:tc>
      </w:tr>
      <w:tr w:rsidR="00227727" w:rsidRPr="00227727" w14:paraId="5994437C" w14:textId="77777777" w:rsidTr="00E772F3">
        <w:tc>
          <w:tcPr>
            <w:tcW w:w="0" w:type="auto"/>
            <w:hideMark/>
          </w:tcPr>
          <w:p w14:paraId="7DC04013" w14:textId="77777777" w:rsidR="00227727" w:rsidRPr="00227727" w:rsidRDefault="00227727" w:rsidP="00E772F3">
            <w:pPr>
              <w:spacing w:line="360" w:lineRule="auto"/>
              <w:rPr>
                <w:rFonts w:ascii="Arial" w:eastAsia="Times New Roman" w:hAnsi="Arial" w:cs="Arial"/>
                <w:b/>
                <w:sz w:val="22"/>
              </w:rPr>
            </w:pPr>
            <w:r w:rsidRPr="00227727">
              <w:rPr>
                <w:rFonts w:ascii="Arial" w:eastAsia="Times New Roman" w:hAnsi="Arial" w:cs="Arial"/>
                <w:b/>
                <w:sz w:val="22"/>
              </w:rPr>
              <w:t>HRM Practices</w:t>
            </w:r>
          </w:p>
        </w:tc>
        <w:tc>
          <w:tcPr>
            <w:tcW w:w="0" w:type="auto"/>
            <w:hideMark/>
          </w:tcPr>
          <w:p w14:paraId="53672325"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This company is committed to addressing the training and development needs of employees.</w:t>
            </w:r>
          </w:p>
        </w:tc>
        <w:tc>
          <w:tcPr>
            <w:tcW w:w="0" w:type="auto"/>
            <w:hideMark/>
          </w:tcPr>
          <w:p w14:paraId="36BC213A"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6A537F4A"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20473631"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66F6B663"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21BFE3D6"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r>
      <w:tr w:rsidR="00227727" w:rsidRPr="00227727" w14:paraId="49BEF608" w14:textId="77777777" w:rsidTr="00E772F3">
        <w:tc>
          <w:tcPr>
            <w:tcW w:w="0" w:type="auto"/>
            <w:hideMark/>
          </w:tcPr>
          <w:p w14:paraId="27EDD579"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6A234C3C"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The benefits offered to employees in addition to the salary are extensive.</w:t>
            </w:r>
          </w:p>
        </w:tc>
        <w:tc>
          <w:tcPr>
            <w:tcW w:w="0" w:type="auto"/>
            <w:hideMark/>
          </w:tcPr>
          <w:p w14:paraId="67308C5C"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4C859B35"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3CA02EC6"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682F38B2"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769EEB8A"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r>
      <w:tr w:rsidR="00227727" w:rsidRPr="00227727" w14:paraId="7D1E63C0" w14:textId="77777777" w:rsidTr="00E772F3">
        <w:tc>
          <w:tcPr>
            <w:tcW w:w="0" w:type="auto"/>
            <w:hideMark/>
          </w:tcPr>
          <w:p w14:paraId="3DF17623"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734DDF66"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Outstanding performance at work is fairly compensated or recognised at work</w:t>
            </w:r>
          </w:p>
        </w:tc>
        <w:tc>
          <w:tcPr>
            <w:tcW w:w="0" w:type="auto"/>
            <w:hideMark/>
          </w:tcPr>
          <w:p w14:paraId="0D803F39"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0C06283B"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63420D96"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78102F7F"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1FFB0C95"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r>
      <w:tr w:rsidR="00227727" w:rsidRPr="00227727" w14:paraId="58CEFC80" w14:textId="77777777" w:rsidTr="00E772F3">
        <w:tc>
          <w:tcPr>
            <w:tcW w:w="0" w:type="auto"/>
            <w:hideMark/>
          </w:tcPr>
          <w:p w14:paraId="11E5C2BA"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366C045B"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The performance evaluation system is fair and is based on clear objectives set at the beginning of the term/year.</w:t>
            </w:r>
          </w:p>
        </w:tc>
        <w:tc>
          <w:tcPr>
            <w:tcW w:w="0" w:type="auto"/>
            <w:hideMark/>
          </w:tcPr>
          <w:p w14:paraId="68EFE608"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5658ABFA"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22CA8551"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4E6932B1"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34CA87F8"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r>
      <w:tr w:rsidR="00227727" w:rsidRPr="00227727" w14:paraId="35AEFE78" w14:textId="77777777" w:rsidTr="00E772F3">
        <w:tc>
          <w:tcPr>
            <w:tcW w:w="0" w:type="auto"/>
            <w:hideMark/>
          </w:tcPr>
          <w:p w14:paraId="17B99850" w14:textId="77777777" w:rsidR="00227727" w:rsidRPr="00227727" w:rsidRDefault="00227727" w:rsidP="00E772F3">
            <w:pPr>
              <w:spacing w:line="360" w:lineRule="auto"/>
              <w:rPr>
                <w:rFonts w:ascii="Arial" w:eastAsia="Times New Roman" w:hAnsi="Arial" w:cs="Arial"/>
                <w:sz w:val="22"/>
              </w:rPr>
            </w:pPr>
          </w:p>
        </w:tc>
        <w:tc>
          <w:tcPr>
            <w:tcW w:w="0" w:type="auto"/>
            <w:hideMark/>
          </w:tcPr>
          <w:p w14:paraId="4614F86C" w14:textId="77777777" w:rsidR="00227727" w:rsidRPr="00227727" w:rsidRDefault="00227727" w:rsidP="00E772F3">
            <w:pPr>
              <w:spacing w:line="360" w:lineRule="auto"/>
              <w:rPr>
                <w:rFonts w:ascii="Arial" w:eastAsia="Times New Roman" w:hAnsi="Arial" w:cs="Arial"/>
                <w:sz w:val="22"/>
              </w:rPr>
            </w:pPr>
            <w:r w:rsidRPr="00227727">
              <w:rPr>
                <w:rFonts w:ascii="Arial" w:hAnsi="Arial" w:cs="Arial"/>
                <w:sz w:val="22"/>
              </w:rPr>
              <w:t>Appointments/promotions are made based on merit, ensuring the best candidate is selected regardless of personal preferences.</w:t>
            </w:r>
          </w:p>
        </w:tc>
        <w:tc>
          <w:tcPr>
            <w:tcW w:w="0" w:type="auto"/>
            <w:hideMark/>
          </w:tcPr>
          <w:p w14:paraId="2D8B2C64"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4F32B40C"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67320148"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04680798"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c>
          <w:tcPr>
            <w:tcW w:w="0" w:type="auto"/>
            <w:hideMark/>
          </w:tcPr>
          <w:p w14:paraId="25F7FCEE" w14:textId="77777777" w:rsidR="00227727" w:rsidRPr="00227727" w:rsidRDefault="00227727" w:rsidP="00E772F3">
            <w:pPr>
              <w:spacing w:line="360" w:lineRule="auto"/>
              <w:rPr>
                <w:rFonts w:ascii="Arial" w:eastAsia="Times New Roman" w:hAnsi="Arial" w:cs="Arial"/>
                <w:sz w:val="22"/>
              </w:rPr>
            </w:pPr>
            <w:r w:rsidRPr="00227727">
              <w:rPr>
                <w:rFonts w:ascii="Segoe UI Symbol" w:eastAsia="Times New Roman" w:hAnsi="Segoe UI Symbol" w:cs="Segoe UI Symbol"/>
                <w:sz w:val="22"/>
              </w:rPr>
              <w:t>☐</w:t>
            </w:r>
          </w:p>
        </w:tc>
      </w:tr>
    </w:tbl>
    <w:p w14:paraId="15650A6D" w14:textId="77777777" w:rsidR="00227727" w:rsidRPr="00227727" w:rsidRDefault="00227727" w:rsidP="00227727">
      <w:pPr>
        <w:rPr>
          <w:rFonts w:ascii="Arial" w:hAnsi="Arial" w:cs="Arial"/>
        </w:rPr>
      </w:pPr>
    </w:p>
    <w:p w14:paraId="604DC05A" w14:textId="77777777" w:rsidR="00227727" w:rsidRPr="00227727" w:rsidRDefault="00227727" w:rsidP="00227727">
      <w:pPr>
        <w:rPr>
          <w:rFonts w:ascii="Arial" w:hAnsi="Arial" w:cs="Arial"/>
        </w:rPr>
      </w:pPr>
    </w:p>
    <w:p w14:paraId="21D924D9" w14:textId="77777777" w:rsidR="00227727" w:rsidRPr="00227727" w:rsidRDefault="00227727" w:rsidP="00227727">
      <w:pPr>
        <w:pStyle w:val="Heading3"/>
        <w:spacing w:line="360" w:lineRule="auto"/>
        <w:rPr>
          <w:rFonts w:ascii="Arial" w:hAnsi="Arial" w:cs="Arial"/>
        </w:rPr>
      </w:pPr>
      <w:r w:rsidRPr="00227727">
        <w:rPr>
          <w:rFonts w:ascii="Arial" w:hAnsi="Arial" w:cs="Arial"/>
          <w:b/>
        </w:rPr>
        <w:lastRenderedPageBreak/>
        <w:t>Appendix B:</w:t>
      </w:r>
      <w:r w:rsidRPr="00227727">
        <w:rPr>
          <w:rFonts w:ascii="Arial" w:hAnsi="Arial" w:cs="Arial"/>
        </w:rPr>
        <w:t xml:space="preserve"> Descriptive Statistics</w:t>
      </w:r>
    </w:p>
    <w:tbl>
      <w:tblPr>
        <w:tblStyle w:val="ListTable6Colourful"/>
        <w:tblW w:w="5000" w:type="pct"/>
        <w:tblLook w:val="0620" w:firstRow="1" w:lastRow="0" w:firstColumn="0" w:lastColumn="0" w:noHBand="1" w:noVBand="1"/>
      </w:tblPr>
      <w:tblGrid>
        <w:gridCol w:w="1047"/>
        <w:gridCol w:w="728"/>
        <w:gridCol w:w="905"/>
        <w:gridCol w:w="1550"/>
        <w:gridCol w:w="1595"/>
        <w:gridCol w:w="2017"/>
        <w:gridCol w:w="1740"/>
        <w:gridCol w:w="1184"/>
      </w:tblGrid>
      <w:tr w:rsidR="00227727" w:rsidRPr="00227727" w14:paraId="03868DAC"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1496" w:type="pct"/>
            <w:noWrap/>
            <w:hideMark/>
          </w:tcPr>
          <w:p w14:paraId="22675EBE"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Items</w:t>
            </w:r>
          </w:p>
        </w:tc>
        <w:tc>
          <w:tcPr>
            <w:tcW w:w="572" w:type="pct"/>
            <w:noWrap/>
            <w:hideMark/>
          </w:tcPr>
          <w:p w14:paraId="72AA648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Mean</w:t>
            </w:r>
          </w:p>
        </w:tc>
        <w:tc>
          <w:tcPr>
            <w:tcW w:w="427" w:type="pct"/>
            <w:noWrap/>
            <w:hideMark/>
          </w:tcPr>
          <w:p w14:paraId="0DE08B0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Median</w:t>
            </w:r>
          </w:p>
        </w:tc>
        <w:tc>
          <w:tcPr>
            <w:tcW w:w="421" w:type="pct"/>
            <w:noWrap/>
            <w:hideMark/>
          </w:tcPr>
          <w:p w14:paraId="7A41831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Observed min</w:t>
            </w:r>
          </w:p>
        </w:tc>
        <w:tc>
          <w:tcPr>
            <w:tcW w:w="387" w:type="pct"/>
            <w:noWrap/>
            <w:hideMark/>
          </w:tcPr>
          <w:p w14:paraId="3E4F38D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Observed max</w:t>
            </w:r>
          </w:p>
        </w:tc>
        <w:tc>
          <w:tcPr>
            <w:tcW w:w="478" w:type="pct"/>
            <w:noWrap/>
            <w:hideMark/>
          </w:tcPr>
          <w:p w14:paraId="0044530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Standard deviation</w:t>
            </w:r>
          </w:p>
        </w:tc>
        <w:tc>
          <w:tcPr>
            <w:tcW w:w="597" w:type="pct"/>
            <w:noWrap/>
            <w:hideMark/>
          </w:tcPr>
          <w:p w14:paraId="5831A22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Excess kurtosis</w:t>
            </w:r>
          </w:p>
        </w:tc>
        <w:tc>
          <w:tcPr>
            <w:tcW w:w="622" w:type="pct"/>
            <w:noWrap/>
            <w:hideMark/>
          </w:tcPr>
          <w:p w14:paraId="0326D35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Skewness</w:t>
            </w:r>
          </w:p>
        </w:tc>
      </w:tr>
      <w:tr w:rsidR="00227727" w:rsidRPr="00227727" w14:paraId="495C7757" w14:textId="77777777" w:rsidTr="00E772F3">
        <w:trPr>
          <w:trHeight w:val="288"/>
        </w:trPr>
        <w:tc>
          <w:tcPr>
            <w:tcW w:w="1496" w:type="pct"/>
            <w:noWrap/>
            <w:hideMark/>
          </w:tcPr>
          <w:p w14:paraId="5BF5A387"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HRMP1</w:t>
            </w:r>
          </w:p>
        </w:tc>
        <w:tc>
          <w:tcPr>
            <w:tcW w:w="572" w:type="pct"/>
            <w:noWrap/>
            <w:hideMark/>
          </w:tcPr>
          <w:p w14:paraId="798F4AA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4.172</w:t>
            </w:r>
          </w:p>
        </w:tc>
        <w:tc>
          <w:tcPr>
            <w:tcW w:w="427" w:type="pct"/>
            <w:noWrap/>
            <w:hideMark/>
          </w:tcPr>
          <w:p w14:paraId="0930C2D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2EAF6C7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1AE14AE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50035DC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0.925</w:t>
            </w:r>
          </w:p>
        </w:tc>
        <w:tc>
          <w:tcPr>
            <w:tcW w:w="597" w:type="pct"/>
            <w:noWrap/>
            <w:hideMark/>
          </w:tcPr>
          <w:p w14:paraId="2C32722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2.246</w:t>
            </w:r>
          </w:p>
        </w:tc>
        <w:tc>
          <w:tcPr>
            <w:tcW w:w="622" w:type="pct"/>
            <w:noWrap/>
            <w:hideMark/>
          </w:tcPr>
          <w:p w14:paraId="2652964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-1.437</w:t>
            </w:r>
          </w:p>
        </w:tc>
      </w:tr>
      <w:tr w:rsidR="00227727" w:rsidRPr="00227727" w14:paraId="43D45A96" w14:textId="77777777" w:rsidTr="00E772F3">
        <w:trPr>
          <w:trHeight w:val="288"/>
        </w:trPr>
        <w:tc>
          <w:tcPr>
            <w:tcW w:w="1496" w:type="pct"/>
            <w:noWrap/>
            <w:hideMark/>
          </w:tcPr>
          <w:p w14:paraId="7B5B1201"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HRMP2</w:t>
            </w:r>
          </w:p>
        </w:tc>
        <w:tc>
          <w:tcPr>
            <w:tcW w:w="572" w:type="pct"/>
            <w:noWrap/>
            <w:hideMark/>
          </w:tcPr>
          <w:p w14:paraId="6FCEA28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4.248</w:t>
            </w:r>
          </w:p>
        </w:tc>
        <w:tc>
          <w:tcPr>
            <w:tcW w:w="427" w:type="pct"/>
            <w:noWrap/>
            <w:hideMark/>
          </w:tcPr>
          <w:p w14:paraId="653EF48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3B37E23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9EF406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1A85E3F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0.938</w:t>
            </w:r>
          </w:p>
        </w:tc>
        <w:tc>
          <w:tcPr>
            <w:tcW w:w="597" w:type="pct"/>
            <w:noWrap/>
            <w:hideMark/>
          </w:tcPr>
          <w:p w14:paraId="1D8757F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1.947</w:t>
            </w:r>
          </w:p>
        </w:tc>
        <w:tc>
          <w:tcPr>
            <w:tcW w:w="622" w:type="pct"/>
            <w:noWrap/>
            <w:hideMark/>
          </w:tcPr>
          <w:p w14:paraId="6C4590E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-1.450</w:t>
            </w:r>
          </w:p>
        </w:tc>
      </w:tr>
      <w:tr w:rsidR="00227727" w:rsidRPr="00227727" w14:paraId="29CA9DEF" w14:textId="77777777" w:rsidTr="00E772F3">
        <w:trPr>
          <w:trHeight w:val="288"/>
        </w:trPr>
        <w:tc>
          <w:tcPr>
            <w:tcW w:w="1496" w:type="pct"/>
            <w:noWrap/>
            <w:hideMark/>
          </w:tcPr>
          <w:p w14:paraId="44A40B94"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HRMP3</w:t>
            </w:r>
          </w:p>
        </w:tc>
        <w:tc>
          <w:tcPr>
            <w:tcW w:w="572" w:type="pct"/>
            <w:noWrap/>
            <w:hideMark/>
          </w:tcPr>
          <w:p w14:paraId="645CF37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4.235</w:t>
            </w:r>
          </w:p>
        </w:tc>
        <w:tc>
          <w:tcPr>
            <w:tcW w:w="427" w:type="pct"/>
            <w:noWrap/>
            <w:hideMark/>
          </w:tcPr>
          <w:p w14:paraId="5CF63AF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6D40B17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5E490E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0C98893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0.943</w:t>
            </w:r>
          </w:p>
        </w:tc>
        <w:tc>
          <w:tcPr>
            <w:tcW w:w="597" w:type="pct"/>
            <w:noWrap/>
            <w:hideMark/>
          </w:tcPr>
          <w:p w14:paraId="52D5213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2.520</w:t>
            </w:r>
          </w:p>
        </w:tc>
        <w:tc>
          <w:tcPr>
            <w:tcW w:w="622" w:type="pct"/>
            <w:noWrap/>
            <w:hideMark/>
          </w:tcPr>
          <w:p w14:paraId="55689FE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-1.567</w:t>
            </w:r>
          </w:p>
        </w:tc>
      </w:tr>
      <w:tr w:rsidR="00227727" w:rsidRPr="00227727" w14:paraId="5F0C765E" w14:textId="77777777" w:rsidTr="00E772F3">
        <w:trPr>
          <w:trHeight w:val="288"/>
        </w:trPr>
        <w:tc>
          <w:tcPr>
            <w:tcW w:w="1496" w:type="pct"/>
            <w:noWrap/>
            <w:hideMark/>
          </w:tcPr>
          <w:p w14:paraId="5D19A4D3"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HRMP4</w:t>
            </w:r>
          </w:p>
        </w:tc>
        <w:tc>
          <w:tcPr>
            <w:tcW w:w="572" w:type="pct"/>
            <w:noWrap/>
            <w:hideMark/>
          </w:tcPr>
          <w:p w14:paraId="3BD52C0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4.097</w:t>
            </w:r>
          </w:p>
        </w:tc>
        <w:tc>
          <w:tcPr>
            <w:tcW w:w="427" w:type="pct"/>
            <w:noWrap/>
            <w:hideMark/>
          </w:tcPr>
          <w:p w14:paraId="7C0738F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3C2285C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1372CF6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368C61E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1.005</w:t>
            </w:r>
          </w:p>
        </w:tc>
        <w:tc>
          <w:tcPr>
            <w:tcW w:w="597" w:type="pct"/>
            <w:noWrap/>
            <w:hideMark/>
          </w:tcPr>
          <w:p w14:paraId="4295154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0.300</w:t>
            </w:r>
          </w:p>
        </w:tc>
        <w:tc>
          <w:tcPr>
            <w:tcW w:w="622" w:type="pct"/>
            <w:noWrap/>
            <w:hideMark/>
          </w:tcPr>
          <w:p w14:paraId="6C5DA19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-1.031</w:t>
            </w:r>
          </w:p>
        </w:tc>
      </w:tr>
      <w:tr w:rsidR="00227727" w:rsidRPr="00227727" w14:paraId="2B1E1FB4" w14:textId="77777777" w:rsidTr="00E772F3">
        <w:trPr>
          <w:trHeight w:val="288"/>
        </w:trPr>
        <w:tc>
          <w:tcPr>
            <w:tcW w:w="1496" w:type="pct"/>
            <w:noWrap/>
            <w:hideMark/>
          </w:tcPr>
          <w:p w14:paraId="7C25D8A0"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JP1</w:t>
            </w:r>
          </w:p>
        </w:tc>
        <w:tc>
          <w:tcPr>
            <w:tcW w:w="572" w:type="pct"/>
            <w:noWrap/>
            <w:hideMark/>
          </w:tcPr>
          <w:p w14:paraId="52F4623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4.245</w:t>
            </w:r>
          </w:p>
        </w:tc>
        <w:tc>
          <w:tcPr>
            <w:tcW w:w="427" w:type="pct"/>
            <w:noWrap/>
            <w:hideMark/>
          </w:tcPr>
          <w:p w14:paraId="0468CDF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43B3665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5469BBA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775090F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0.919</w:t>
            </w:r>
          </w:p>
        </w:tc>
        <w:tc>
          <w:tcPr>
            <w:tcW w:w="597" w:type="pct"/>
            <w:noWrap/>
            <w:hideMark/>
          </w:tcPr>
          <w:p w14:paraId="68D54BE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3.048</w:t>
            </w:r>
          </w:p>
        </w:tc>
        <w:tc>
          <w:tcPr>
            <w:tcW w:w="622" w:type="pct"/>
            <w:noWrap/>
            <w:hideMark/>
          </w:tcPr>
          <w:p w14:paraId="59CD115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-1.634</w:t>
            </w:r>
          </w:p>
        </w:tc>
      </w:tr>
      <w:tr w:rsidR="00227727" w:rsidRPr="00227727" w14:paraId="0CCDB8D9" w14:textId="77777777" w:rsidTr="00E772F3">
        <w:trPr>
          <w:trHeight w:val="288"/>
        </w:trPr>
        <w:tc>
          <w:tcPr>
            <w:tcW w:w="1496" w:type="pct"/>
            <w:noWrap/>
            <w:hideMark/>
          </w:tcPr>
          <w:p w14:paraId="3DB2F69C"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JP2</w:t>
            </w:r>
          </w:p>
        </w:tc>
        <w:tc>
          <w:tcPr>
            <w:tcW w:w="572" w:type="pct"/>
            <w:noWrap/>
            <w:hideMark/>
          </w:tcPr>
          <w:p w14:paraId="15AB9DA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4.257</w:t>
            </w:r>
          </w:p>
        </w:tc>
        <w:tc>
          <w:tcPr>
            <w:tcW w:w="427" w:type="pct"/>
            <w:noWrap/>
            <w:hideMark/>
          </w:tcPr>
          <w:p w14:paraId="73CD025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1ADF8D3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0D382C2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3F02931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0.933</w:t>
            </w:r>
          </w:p>
        </w:tc>
        <w:tc>
          <w:tcPr>
            <w:tcW w:w="597" w:type="pct"/>
            <w:noWrap/>
            <w:hideMark/>
          </w:tcPr>
          <w:p w14:paraId="60D262D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3.331</w:t>
            </w:r>
          </w:p>
        </w:tc>
        <w:tc>
          <w:tcPr>
            <w:tcW w:w="622" w:type="pct"/>
            <w:noWrap/>
            <w:hideMark/>
          </w:tcPr>
          <w:p w14:paraId="022627B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-1.721</w:t>
            </w:r>
          </w:p>
        </w:tc>
      </w:tr>
      <w:tr w:rsidR="00227727" w:rsidRPr="00227727" w14:paraId="60A480F9" w14:textId="77777777" w:rsidTr="00E772F3">
        <w:trPr>
          <w:trHeight w:val="288"/>
        </w:trPr>
        <w:tc>
          <w:tcPr>
            <w:tcW w:w="1496" w:type="pct"/>
            <w:noWrap/>
            <w:hideMark/>
          </w:tcPr>
          <w:p w14:paraId="4B3926DD"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JP3</w:t>
            </w:r>
          </w:p>
        </w:tc>
        <w:tc>
          <w:tcPr>
            <w:tcW w:w="572" w:type="pct"/>
            <w:noWrap/>
            <w:hideMark/>
          </w:tcPr>
          <w:p w14:paraId="6A94C86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4.197</w:t>
            </w:r>
          </w:p>
        </w:tc>
        <w:tc>
          <w:tcPr>
            <w:tcW w:w="427" w:type="pct"/>
            <w:noWrap/>
            <w:hideMark/>
          </w:tcPr>
          <w:p w14:paraId="68DA4B4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1986AD6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5EB7DEC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4EEA4A4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0.977</w:t>
            </w:r>
          </w:p>
        </w:tc>
        <w:tc>
          <w:tcPr>
            <w:tcW w:w="597" w:type="pct"/>
            <w:noWrap/>
            <w:hideMark/>
          </w:tcPr>
          <w:p w14:paraId="0D2FE19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1.897</w:t>
            </w:r>
          </w:p>
        </w:tc>
        <w:tc>
          <w:tcPr>
            <w:tcW w:w="622" w:type="pct"/>
            <w:noWrap/>
            <w:hideMark/>
          </w:tcPr>
          <w:p w14:paraId="00EEB50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-1.453</w:t>
            </w:r>
          </w:p>
        </w:tc>
      </w:tr>
      <w:tr w:rsidR="00227727" w:rsidRPr="00227727" w14:paraId="37D51D5B" w14:textId="77777777" w:rsidTr="00E772F3">
        <w:trPr>
          <w:trHeight w:val="288"/>
        </w:trPr>
        <w:tc>
          <w:tcPr>
            <w:tcW w:w="1496" w:type="pct"/>
            <w:noWrap/>
            <w:hideMark/>
          </w:tcPr>
          <w:p w14:paraId="21F4B4B7"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JP4</w:t>
            </w:r>
          </w:p>
        </w:tc>
        <w:tc>
          <w:tcPr>
            <w:tcW w:w="572" w:type="pct"/>
            <w:noWrap/>
            <w:hideMark/>
          </w:tcPr>
          <w:p w14:paraId="43C590C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4.250</w:t>
            </w:r>
          </w:p>
        </w:tc>
        <w:tc>
          <w:tcPr>
            <w:tcW w:w="427" w:type="pct"/>
            <w:noWrap/>
            <w:hideMark/>
          </w:tcPr>
          <w:p w14:paraId="0D4FA99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21" w:type="pct"/>
            <w:noWrap/>
            <w:hideMark/>
          </w:tcPr>
          <w:p w14:paraId="4428C48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B08CA0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4B3C78D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1.014</w:t>
            </w:r>
          </w:p>
        </w:tc>
        <w:tc>
          <w:tcPr>
            <w:tcW w:w="597" w:type="pct"/>
            <w:noWrap/>
            <w:hideMark/>
          </w:tcPr>
          <w:p w14:paraId="69F3BBD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0.651</w:t>
            </w:r>
          </w:p>
        </w:tc>
        <w:tc>
          <w:tcPr>
            <w:tcW w:w="622" w:type="pct"/>
            <w:noWrap/>
            <w:hideMark/>
          </w:tcPr>
          <w:p w14:paraId="4679559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-1.275</w:t>
            </w:r>
          </w:p>
        </w:tc>
      </w:tr>
      <w:tr w:rsidR="00227727" w:rsidRPr="00227727" w14:paraId="2BFF1B5B" w14:textId="77777777" w:rsidTr="00E772F3">
        <w:trPr>
          <w:trHeight w:val="288"/>
        </w:trPr>
        <w:tc>
          <w:tcPr>
            <w:tcW w:w="1496" w:type="pct"/>
            <w:noWrap/>
            <w:hideMark/>
          </w:tcPr>
          <w:p w14:paraId="05D3F8F0"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JS3</w:t>
            </w:r>
          </w:p>
        </w:tc>
        <w:tc>
          <w:tcPr>
            <w:tcW w:w="572" w:type="pct"/>
            <w:noWrap/>
            <w:hideMark/>
          </w:tcPr>
          <w:p w14:paraId="3001D09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4.114</w:t>
            </w:r>
          </w:p>
        </w:tc>
        <w:tc>
          <w:tcPr>
            <w:tcW w:w="427" w:type="pct"/>
            <w:noWrap/>
            <w:hideMark/>
          </w:tcPr>
          <w:p w14:paraId="50AC6D6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01ECD60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75DB1EA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72331C1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1.014</w:t>
            </w:r>
          </w:p>
        </w:tc>
        <w:tc>
          <w:tcPr>
            <w:tcW w:w="597" w:type="pct"/>
            <w:noWrap/>
            <w:hideMark/>
          </w:tcPr>
          <w:p w14:paraId="2DCAB7F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0.143</w:t>
            </w:r>
          </w:p>
        </w:tc>
        <w:tc>
          <w:tcPr>
            <w:tcW w:w="622" w:type="pct"/>
            <w:noWrap/>
            <w:hideMark/>
          </w:tcPr>
          <w:p w14:paraId="55013FF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-1.015</w:t>
            </w:r>
          </w:p>
        </w:tc>
      </w:tr>
      <w:tr w:rsidR="00227727" w:rsidRPr="00227727" w14:paraId="5DEBD7AF" w14:textId="77777777" w:rsidTr="00E772F3">
        <w:trPr>
          <w:trHeight w:val="288"/>
        </w:trPr>
        <w:tc>
          <w:tcPr>
            <w:tcW w:w="1496" w:type="pct"/>
            <w:noWrap/>
            <w:hideMark/>
          </w:tcPr>
          <w:p w14:paraId="74C92FDF"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JS4</w:t>
            </w:r>
          </w:p>
        </w:tc>
        <w:tc>
          <w:tcPr>
            <w:tcW w:w="572" w:type="pct"/>
            <w:noWrap/>
            <w:hideMark/>
          </w:tcPr>
          <w:p w14:paraId="653E789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4.075</w:t>
            </w:r>
          </w:p>
        </w:tc>
        <w:tc>
          <w:tcPr>
            <w:tcW w:w="427" w:type="pct"/>
            <w:noWrap/>
            <w:hideMark/>
          </w:tcPr>
          <w:p w14:paraId="28A53F5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667C3B4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46FA2B7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066261E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1.008</w:t>
            </w:r>
          </w:p>
        </w:tc>
        <w:tc>
          <w:tcPr>
            <w:tcW w:w="597" w:type="pct"/>
            <w:noWrap/>
            <w:hideMark/>
          </w:tcPr>
          <w:p w14:paraId="075397F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0.428</w:t>
            </w:r>
          </w:p>
        </w:tc>
        <w:tc>
          <w:tcPr>
            <w:tcW w:w="622" w:type="pct"/>
            <w:noWrap/>
            <w:hideMark/>
          </w:tcPr>
          <w:p w14:paraId="2CF8C00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-1.036</w:t>
            </w:r>
          </w:p>
        </w:tc>
      </w:tr>
      <w:tr w:rsidR="00227727" w:rsidRPr="00227727" w14:paraId="68432AB7" w14:textId="77777777" w:rsidTr="00E772F3">
        <w:trPr>
          <w:trHeight w:val="288"/>
        </w:trPr>
        <w:tc>
          <w:tcPr>
            <w:tcW w:w="1496" w:type="pct"/>
            <w:noWrap/>
            <w:hideMark/>
          </w:tcPr>
          <w:p w14:paraId="3BBE3A2D"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JS5</w:t>
            </w:r>
          </w:p>
        </w:tc>
        <w:tc>
          <w:tcPr>
            <w:tcW w:w="572" w:type="pct"/>
            <w:noWrap/>
            <w:hideMark/>
          </w:tcPr>
          <w:p w14:paraId="0BCAB5E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4.063</w:t>
            </w:r>
          </w:p>
        </w:tc>
        <w:tc>
          <w:tcPr>
            <w:tcW w:w="427" w:type="pct"/>
            <w:noWrap/>
            <w:hideMark/>
          </w:tcPr>
          <w:p w14:paraId="7AB030E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5452238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E28EE3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3348AD5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1.010</w:t>
            </w:r>
          </w:p>
        </w:tc>
        <w:tc>
          <w:tcPr>
            <w:tcW w:w="597" w:type="pct"/>
            <w:noWrap/>
            <w:hideMark/>
          </w:tcPr>
          <w:p w14:paraId="062DF2B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0.115</w:t>
            </w:r>
          </w:p>
        </w:tc>
        <w:tc>
          <w:tcPr>
            <w:tcW w:w="622" w:type="pct"/>
            <w:noWrap/>
            <w:hideMark/>
          </w:tcPr>
          <w:p w14:paraId="2BC60F3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-0.949</w:t>
            </w:r>
          </w:p>
        </w:tc>
      </w:tr>
      <w:tr w:rsidR="00227727" w:rsidRPr="00227727" w14:paraId="54DE0BE5" w14:textId="77777777" w:rsidTr="00E772F3">
        <w:trPr>
          <w:trHeight w:val="288"/>
        </w:trPr>
        <w:tc>
          <w:tcPr>
            <w:tcW w:w="1496" w:type="pct"/>
            <w:noWrap/>
            <w:hideMark/>
          </w:tcPr>
          <w:p w14:paraId="73CA97FA"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JS6</w:t>
            </w:r>
          </w:p>
        </w:tc>
        <w:tc>
          <w:tcPr>
            <w:tcW w:w="572" w:type="pct"/>
            <w:noWrap/>
            <w:hideMark/>
          </w:tcPr>
          <w:p w14:paraId="3E35486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3.998</w:t>
            </w:r>
          </w:p>
        </w:tc>
        <w:tc>
          <w:tcPr>
            <w:tcW w:w="427" w:type="pct"/>
            <w:noWrap/>
            <w:hideMark/>
          </w:tcPr>
          <w:p w14:paraId="1D28927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38884F7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05CD5A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647D509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1.023</w:t>
            </w:r>
          </w:p>
        </w:tc>
        <w:tc>
          <w:tcPr>
            <w:tcW w:w="597" w:type="pct"/>
            <w:noWrap/>
            <w:hideMark/>
          </w:tcPr>
          <w:p w14:paraId="3688AFE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-0.042</w:t>
            </w:r>
          </w:p>
        </w:tc>
        <w:tc>
          <w:tcPr>
            <w:tcW w:w="622" w:type="pct"/>
            <w:noWrap/>
            <w:hideMark/>
          </w:tcPr>
          <w:p w14:paraId="34D119F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-0.856</w:t>
            </w:r>
          </w:p>
        </w:tc>
      </w:tr>
      <w:tr w:rsidR="00227727" w:rsidRPr="00227727" w14:paraId="08C4D88C" w14:textId="77777777" w:rsidTr="00E772F3">
        <w:trPr>
          <w:trHeight w:val="288"/>
        </w:trPr>
        <w:tc>
          <w:tcPr>
            <w:tcW w:w="1496" w:type="pct"/>
            <w:noWrap/>
            <w:hideMark/>
          </w:tcPr>
          <w:p w14:paraId="657B30FF"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JS7</w:t>
            </w:r>
          </w:p>
        </w:tc>
        <w:tc>
          <w:tcPr>
            <w:tcW w:w="572" w:type="pct"/>
            <w:noWrap/>
            <w:hideMark/>
          </w:tcPr>
          <w:p w14:paraId="42139A8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4.017</w:t>
            </w:r>
          </w:p>
        </w:tc>
        <w:tc>
          <w:tcPr>
            <w:tcW w:w="427" w:type="pct"/>
            <w:noWrap/>
            <w:hideMark/>
          </w:tcPr>
          <w:p w14:paraId="051CECF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41BC709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7539148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29D60CB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1.051</w:t>
            </w:r>
          </w:p>
        </w:tc>
        <w:tc>
          <w:tcPr>
            <w:tcW w:w="597" w:type="pct"/>
            <w:noWrap/>
            <w:hideMark/>
          </w:tcPr>
          <w:p w14:paraId="13B2717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-0.162</w:t>
            </w:r>
          </w:p>
        </w:tc>
        <w:tc>
          <w:tcPr>
            <w:tcW w:w="622" w:type="pct"/>
            <w:noWrap/>
            <w:hideMark/>
          </w:tcPr>
          <w:p w14:paraId="3FB7C9C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-0.891</w:t>
            </w:r>
          </w:p>
        </w:tc>
      </w:tr>
      <w:tr w:rsidR="00227727" w:rsidRPr="00227727" w14:paraId="4AD7B0E6" w14:textId="77777777" w:rsidTr="00E772F3">
        <w:trPr>
          <w:trHeight w:val="288"/>
        </w:trPr>
        <w:tc>
          <w:tcPr>
            <w:tcW w:w="1496" w:type="pct"/>
            <w:noWrap/>
            <w:hideMark/>
          </w:tcPr>
          <w:p w14:paraId="02B43301"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JS8</w:t>
            </w:r>
          </w:p>
        </w:tc>
        <w:tc>
          <w:tcPr>
            <w:tcW w:w="572" w:type="pct"/>
            <w:noWrap/>
            <w:hideMark/>
          </w:tcPr>
          <w:p w14:paraId="56154D0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3.978</w:t>
            </w:r>
          </w:p>
        </w:tc>
        <w:tc>
          <w:tcPr>
            <w:tcW w:w="427" w:type="pct"/>
            <w:noWrap/>
            <w:hideMark/>
          </w:tcPr>
          <w:p w14:paraId="0A3A0BE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6FE8348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3A34DA9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18B1C25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1.013</w:t>
            </w:r>
          </w:p>
        </w:tc>
        <w:tc>
          <w:tcPr>
            <w:tcW w:w="597" w:type="pct"/>
            <w:noWrap/>
            <w:hideMark/>
          </w:tcPr>
          <w:p w14:paraId="76788ED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0.069</w:t>
            </w:r>
          </w:p>
        </w:tc>
        <w:tc>
          <w:tcPr>
            <w:tcW w:w="622" w:type="pct"/>
            <w:noWrap/>
            <w:hideMark/>
          </w:tcPr>
          <w:p w14:paraId="0A0DB4A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-0.884</w:t>
            </w:r>
          </w:p>
        </w:tc>
      </w:tr>
      <w:tr w:rsidR="00227727" w:rsidRPr="00227727" w14:paraId="7CB04EF6" w14:textId="77777777" w:rsidTr="00E772F3">
        <w:trPr>
          <w:trHeight w:val="288"/>
        </w:trPr>
        <w:tc>
          <w:tcPr>
            <w:tcW w:w="1496" w:type="pct"/>
            <w:noWrap/>
            <w:hideMark/>
          </w:tcPr>
          <w:p w14:paraId="4FAA3FAB"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JS9</w:t>
            </w:r>
          </w:p>
        </w:tc>
        <w:tc>
          <w:tcPr>
            <w:tcW w:w="572" w:type="pct"/>
            <w:noWrap/>
            <w:hideMark/>
          </w:tcPr>
          <w:p w14:paraId="5159745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4.032</w:t>
            </w:r>
          </w:p>
        </w:tc>
        <w:tc>
          <w:tcPr>
            <w:tcW w:w="427" w:type="pct"/>
            <w:noWrap/>
            <w:hideMark/>
          </w:tcPr>
          <w:p w14:paraId="6FD0F2B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3DFB35E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94FFBB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3C79888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1.036</w:t>
            </w:r>
          </w:p>
        </w:tc>
        <w:tc>
          <w:tcPr>
            <w:tcW w:w="597" w:type="pct"/>
            <w:noWrap/>
            <w:hideMark/>
          </w:tcPr>
          <w:p w14:paraId="1D77A17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0.022</w:t>
            </w:r>
          </w:p>
        </w:tc>
        <w:tc>
          <w:tcPr>
            <w:tcW w:w="622" w:type="pct"/>
            <w:noWrap/>
            <w:hideMark/>
          </w:tcPr>
          <w:p w14:paraId="11797CA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-0.930</w:t>
            </w:r>
          </w:p>
        </w:tc>
      </w:tr>
      <w:tr w:rsidR="00227727" w:rsidRPr="00227727" w14:paraId="0FB7944F" w14:textId="77777777" w:rsidTr="00E772F3">
        <w:trPr>
          <w:trHeight w:val="288"/>
        </w:trPr>
        <w:tc>
          <w:tcPr>
            <w:tcW w:w="1496" w:type="pct"/>
            <w:noWrap/>
            <w:hideMark/>
          </w:tcPr>
          <w:p w14:paraId="12D21EF8"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JSA1</w:t>
            </w:r>
          </w:p>
        </w:tc>
        <w:tc>
          <w:tcPr>
            <w:tcW w:w="572" w:type="pct"/>
            <w:noWrap/>
            <w:hideMark/>
          </w:tcPr>
          <w:p w14:paraId="21FABD4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4.194</w:t>
            </w:r>
          </w:p>
        </w:tc>
        <w:tc>
          <w:tcPr>
            <w:tcW w:w="427" w:type="pct"/>
            <w:noWrap/>
            <w:hideMark/>
          </w:tcPr>
          <w:p w14:paraId="2B3C149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3AEE25B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5D28CC6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01370BE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0.946</w:t>
            </w:r>
          </w:p>
        </w:tc>
        <w:tc>
          <w:tcPr>
            <w:tcW w:w="597" w:type="pct"/>
            <w:noWrap/>
            <w:hideMark/>
          </w:tcPr>
          <w:p w14:paraId="37D0470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0.247</w:t>
            </w:r>
          </w:p>
        </w:tc>
        <w:tc>
          <w:tcPr>
            <w:tcW w:w="622" w:type="pct"/>
            <w:noWrap/>
            <w:hideMark/>
          </w:tcPr>
          <w:p w14:paraId="4C41B48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-1.053</w:t>
            </w:r>
          </w:p>
        </w:tc>
      </w:tr>
      <w:tr w:rsidR="00227727" w:rsidRPr="00227727" w14:paraId="45DC0899" w14:textId="77777777" w:rsidTr="00E772F3">
        <w:trPr>
          <w:trHeight w:val="288"/>
        </w:trPr>
        <w:tc>
          <w:tcPr>
            <w:tcW w:w="1496" w:type="pct"/>
            <w:noWrap/>
            <w:hideMark/>
          </w:tcPr>
          <w:p w14:paraId="10C15871"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JSA2</w:t>
            </w:r>
          </w:p>
        </w:tc>
        <w:tc>
          <w:tcPr>
            <w:tcW w:w="572" w:type="pct"/>
            <w:noWrap/>
            <w:hideMark/>
          </w:tcPr>
          <w:p w14:paraId="646AB44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4.085</w:t>
            </w:r>
          </w:p>
        </w:tc>
        <w:tc>
          <w:tcPr>
            <w:tcW w:w="427" w:type="pct"/>
            <w:noWrap/>
            <w:hideMark/>
          </w:tcPr>
          <w:p w14:paraId="6C93D23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7DF4D64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34CC7E1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240D0EC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0.881</w:t>
            </w:r>
          </w:p>
        </w:tc>
        <w:tc>
          <w:tcPr>
            <w:tcW w:w="597" w:type="pct"/>
            <w:noWrap/>
            <w:hideMark/>
          </w:tcPr>
          <w:p w14:paraId="23FD599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0.343</w:t>
            </w:r>
          </w:p>
        </w:tc>
        <w:tc>
          <w:tcPr>
            <w:tcW w:w="622" w:type="pct"/>
            <w:noWrap/>
            <w:hideMark/>
          </w:tcPr>
          <w:p w14:paraId="4961BEA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-0.892</w:t>
            </w:r>
          </w:p>
        </w:tc>
      </w:tr>
      <w:tr w:rsidR="00227727" w:rsidRPr="00227727" w14:paraId="52197E77" w14:textId="77777777" w:rsidTr="00E772F3">
        <w:trPr>
          <w:trHeight w:val="288"/>
        </w:trPr>
        <w:tc>
          <w:tcPr>
            <w:tcW w:w="1496" w:type="pct"/>
            <w:noWrap/>
            <w:hideMark/>
          </w:tcPr>
          <w:p w14:paraId="2542C00F"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JSA3</w:t>
            </w:r>
          </w:p>
        </w:tc>
        <w:tc>
          <w:tcPr>
            <w:tcW w:w="572" w:type="pct"/>
            <w:noWrap/>
            <w:hideMark/>
          </w:tcPr>
          <w:p w14:paraId="0CCEB73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4.019</w:t>
            </w:r>
          </w:p>
        </w:tc>
        <w:tc>
          <w:tcPr>
            <w:tcW w:w="427" w:type="pct"/>
            <w:noWrap/>
            <w:hideMark/>
          </w:tcPr>
          <w:p w14:paraId="7156D86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2BB895B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354BDC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4501B13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1.188</w:t>
            </w:r>
          </w:p>
        </w:tc>
        <w:tc>
          <w:tcPr>
            <w:tcW w:w="597" w:type="pct"/>
            <w:noWrap/>
            <w:hideMark/>
          </w:tcPr>
          <w:p w14:paraId="6CF88C1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0.840</w:t>
            </w:r>
          </w:p>
        </w:tc>
        <w:tc>
          <w:tcPr>
            <w:tcW w:w="622" w:type="pct"/>
            <w:noWrap/>
            <w:hideMark/>
          </w:tcPr>
          <w:p w14:paraId="1622DA3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-1.318</w:t>
            </w:r>
          </w:p>
        </w:tc>
      </w:tr>
      <w:tr w:rsidR="00227727" w:rsidRPr="00227727" w14:paraId="04194E08" w14:textId="77777777" w:rsidTr="00E772F3">
        <w:trPr>
          <w:trHeight w:val="288"/>
        </w:trPr>
        <w:tc>
          <w:tcPr>
            <w:tcW w:w="1496" w:type="pct"/>
            <w:noWrap/>
            <w:hideMark/>
          </w:tcPr>
          <w:p w14:paraId="37156DF4"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JSA4</w:t>
            </w:r>
          </w:p>
        </w:tc>
        <w:tc>
          <w:tcPr>
            <w:tcW w:w="572" w:type="pct"/>
            <w:noWrap/>
            <w:hideMark/>
          </w:tcPr>
          <w:p w14:paraId="4C27F17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4.187</w:t>
            </w:r>
          </w:p>
        </w:tc>
        <w:tc>
          <w:tcPr>
            <w:tcW w:w="427" w:type="pct"/>
            <w:noWrap/>
            <w:hideMark/>
          </w:tcPr>
          <w:p w14:paraId="3368766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4992D1B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2083345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647BBA8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0.951</w:t>
            </w:r>
          </w:p>
        </w:tc>
        <w:tc>
          <w:tcPr>
            <w:tcW w:w="597" w:type="pct"/>
            <w:noWrap/>
            <w:hideMark/>
          </w:tcPr>
          <w:p w14:paraId="79B0C85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0.210</w:t>
            </w:r>
          </w:p>
        </w:tc>
        <w:tc>
          <w:tcPr>
            <w:tcW w:w="622" w:type="pct"/>
            <w:noWrap/>
            <w:hideMark/>
          </w:tcPr>
          <w:p w14:paraId="0E022A3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-1.044</w:t>
            </w:r>
          </w:p>
        </w:tc>
      </w:tr>
      <w:tr w:rsidR="00227727" w:rsidRPr="00227727" w14:paraId="313E352D" w14:textId="77777777" w:rsidTr="00E772F3">
        <w:trPr>
          <w:trHeight w:val="288"/>
        </w:trPr>
        <w:tc>
          <w:tcPr>
            <w:tcW w:w="1496" w:type="pct"/>
            <w:noWrap/>
            <w:hideMark/>
          </w:tcPr>
          <w:p w14:paraId="59D32D2C"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JSA5</w:t>
            </w:r>
          </w:p>
        </w:tc>
        <w:tc>
          <w:tcPr>
            <w:tcW w:w="572" w:type="pct"/>
            <w:noWrap/>
            <w:hideMark/>
          </w:tcPr>
          <w:p w14:paraId="1578C78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4.085</w:t>
            </w:r>
          </w:p>
        </w:tc>
        <w:tc>
          <w:tcPr>
            <w:tcW w:w="427" w:type="pct"/>
            <w:noWrap/>
            <w:hideMark/>
          </w:tcPr>
          <w:p w14:paraId="558B580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5DBC605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1EC940C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29C7C5B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0.881</w:t>
            </w:r>
          </w:p>
        </w:tc>
        <w:tc>
          <w:tcPr>
            <w:tcW w:w="597" w:type="pct"/>
            <w:noWrap/>
            <w:hideMark/>
          </w:tcPr>
          <w:p w14:paraId="6FF92E7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0.343</w:t>
            </w:r>
          </w:p>
        </w:tc>
        <w:tc>
          <w:tcPr>
            <w:tcW w:w="622" w:type="pct"/>
            <w:noWrap/>
            <w:hideMark/>
          </w:tcPr>
          <w:p w14:paraId="4578400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-0.892</w:t>
            </w:r>
          </w:p>
        </w:tc>
      </w:tr>
      <w:tr w:rsidR="00227727" w:rsidRPr="00227727" w14:paraId="026AE0AA" w14:textId="77777777" w:rsidTr="00E772F3">
        <w:trPr>
          <w:trHeight w:val="288"/>
        </w:trPr>
        <w:tc>
          <w:tcPr>
            <w:tcW w:w="1496" w:type="pct"/>
            <w:noWrap/>
            <w:hideMark/>
          </w:tcPr>
          <w:p w14:paraId="3A8ABBE4"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JSA6</w:t>
            </w:r>
          </w:p>
        </w:tc>
        <w:tc>
          <w:tcPr>
            <w:tcW w:w="572" w:type="pct"/>
            <w:noWrap/>
            <w:hideMark/>
          </w:tcPr>
          <w:p w14:paraId="7756EAA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4.019</w:t>
            </w:r>
          </w:p>
        </w:tc>
        <w:tc>
          <w:tcPr>
            <w:tcW w:w="427" w:type="pct"/>
            <w:noWrap/>
            <w:hideMark/>
          </w:tcPr>
          <w:p w14:paraId="5C75C85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2D927A4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768FD9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41D6160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1.188</w:t>
            </w:r>
          </w:p>
        </w:tc>
        <w:tc>
          <w:tcPr>
            <w:tcW w:w="597" w:type="pct"/>
            <w:noWrap/>
            <w:hideMark/>
          </w:tcPr>
          <w:p w14:paraId="4D17C18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0.840</w:t>
            </w:r>
          </w:p>
        </w:tc>
        <w:tc>
          <w:tcPr>
            <w:tcW w:w="622" w:type="pct"/>
            <w:noWrap/>
            <w:hideMark/>
          </w:tcPr>
          <w:p w14:paraId="2368B16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-1.318</w:t>
            </w:r>
          </w:p>
        </w:tc>
      </w:tr>
      <w:tr w:rsidR="00227727" w:rsidRPr="00227727" w14:paraId="2F2D7668" w14:textId="77777777" w:rsidTr="00E772F3">
        <w:trPr>
          <w:trHeight w:val="288"/>
        </w:trPr>
        <w:tc>
          <w:tcPr>
            <w:tcW w:w="1496" w:type="pct"/>
            <w:noWrap/>
            <w:hideMark/>
          </w:tcPr>
          <w:p w14:paraId="5939933A"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PW1</w:t>
            </w:r>
          </w:p>
        </w:tc>
        <w:tc>
          <w:tcPr>
            <w:tcW w:w="572" w:type="pct"/>
            <w:noWrap/>
            <w:hideMark/>
          </w:tcPr>
          <w:p w14:paraId="10D1FE2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4.007</w:t>
            </w:r>
          </w:p>
        </w:tc>
        <w:tc>
          <w:tcPr>
            <w:tcW w:w="427" w:type="pct"/>
            <w:noWrap/>
            <w:hideMark/>
          </w:tcPr>
          <w:p w14:paraId="630EEB3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4E63664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56580AA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0A9CDC5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1.025</w:t>
            </w:r>
          </w:p>
        </w:tc>
        <w:tc>
          <w:tcPr>
            <w:tcW w:w="597" w:type="pct"/>
            <w:noWrap/>
            <w:hideMark/>
          </w:tcPr>
          <w:p w14:paraId="3EBCE5B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0.103</w:t>
            </w:r>
          </w:p>
        </w:tc>
        <w:tc>
          <w:tcPr>
            <w:tcW w:w="622" w:type="pct"/>
            <w:noWrap/>
            <w:hideMark/>
          </w:tcPr>
          <w:p w14:paraId="6FC68D7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-0.910</w:t>
            </w:r>
          </w:p>
        </w:tc>
      </w:tr>
      <w:tr w:rsidR="00227727" w:rsidRPr="00227727" w14:paraId="041EA846" w14:textId="77777777" w:rsidTr="00E772F3">
        <w:trPr>
          <w:trHeight w:val="288"/>
        </w:trPr>
        <w:tc>
          <w:tcPr>
            <w:tcW w:w="1496" w:type="pct"/>
            <w:noWrap/>
            <w:hideMark/>
          </w:tcPr>
          <w:p w14:paraId="7E243065"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PW2</w:t>
            </w:r>
          </w:p>
        </w:tc>
        <w:tc>
          <w:tcPr>
            <w:tcW w:w="572" w:type="pct"/>
            <w:noWrap/>
            <w:hideMark/>
          </w:tcPr>
          <w:p w14:paraId="4D6190D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4.005</w:t>
            </w:r>
          </w:p>
        </w:tc>
        <w:tc>
          <w:tcPr>
            <w:tcW w:w="427" w:type="pct"/>
            <w:noWrap/>
            <w:hideMark/>
          </w:tcPr>
          <w:p w14:paraId="32FF905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1151C8A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098A8C9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2340A7B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1.012</w:t>
            </w:r>
          </w:p>
        </w:tc>
        <w:tc>
          <w:tcPr>
            <w:tcW w:w="597" w:type="pct"/>
            <w:noWrap/>
            <w:hideMark/>
          </w:tcPr>
          <w:p w14:paraId="026E108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-0.163</w:t>
            </w:r>
          </w:p>
        </w:tc>
        <w:tc>
          <w:tcPr>
            <w:tcW w:w="622" w:type="pct"/>
            <w:noWrap/>
            <w:hideMark/>
          </w:tcPr>
          <w:p w14:paraId="537D2C7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-0.828</w:t>
            </w:r>
          </w:p>
        </w:tc>
      </w:tr>
      <w:tr w:rsidR="00227727" w:rsidRPr="00227727" w14:paraId="10444E55" w14:textId="77777777" w:rsidTr="00E772F3">
        <w:trPr>
          <w:trHeight w:val="288"/>
        </w:trPr>
        <w:tc>
          <w:tcPr>
            <w:tcW w:w="1496" w:type="pct"/>
            <w:noWrap/>
            <w:hideMark/>
          </w:tcPr>
          <w:p w14:paraId="272A38E8"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PW3</w:t>
            </w:r>
          </w:p>
        </w:tc>
        <w:tc>
          <w:tcPr>
            <w:tcW w:w="572" w:type="pct"/>
            <w:noWrap/>
            <w:hideMark/>
          </w:tcPr>
          <w:p w14:paraId="19D5EDF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4.058</w:t>
            </w:r>
          </w:p>
        </w:tc>
        <w:tc>
          <w:tcPr>
            <w:tcW w:w="427" w:type="pct"/>
            <w:noWrap/>
            <w:hideMark/>
          </w:tcPr>
          <w:p w14:paraId="3F16830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5DAD982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7B21C1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36ED03C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1.006</w:t>
            </w:r>
          </w:p>
        </w:tc>
        <w:tc>
          <w:tcPr>
            <w:tcW w:w="597" w:type="pct"/>
            <w:noWrap/>
            <w:hideMark/>
          </w:tcPr>
          <w:p w14:paraId="3DB716E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0.087</w:t>
            </w:r>
          </w:p>
        </w:tc>
        <w:tc>
          <w:tcPr>
            <w:tcW w:w="622" w:type="pct"/>
            <w:noWrap/>
            <w:hideMark/>
          </w:tcPr>
          <w:p w14:paraId="33F6707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-0.951</w:t>
            </w:r>
          </w:p>
        </w:tc>
      </w:tr>
      <w:tr w:rsidR="00227727" w:rsidRPr="00227727" w14:paraId="58730DF8" w14:textId="77777777" w:rsidTr="00E772F3">
        <w:trPr>
          <w:trHeight w:val="288"/>
        </w:trPr>
        <w:tc>
          <w:tcPr>
            <w:tcW w:w="1496" w:type="pct"/>
            <w:noWrap/>
            <w:hideMark/>
          </w:tcPr>
          <w:p w14:paraId="277DDDF5"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PW4</w:t>
            </w:r>
          </w:p>
        </w:tc>
        <w:tc>
          <w:tcPr>
            <w:tcW w:w="572" w:type="pct"/>
            <w:noWrap/>
            <w:hideMark/>
          </w:tcPr>
          <w:p w14:paraId="22B8D9F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4.080</w:t>
            </w:r>
          </w:p>
        </w:tc>
        <w:tc>
          <w:tcPr>
            <w:tcW w:w="427" w:type="pct"/>
            <w:noWrap/>
            <w:hideMark/>
          </w:tcPr>
          <w:p w14:paraId="288FC4E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2E80E34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219ADD3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4D25BEC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1.022</w:t>
            </w:r>
          </w:p>
        </w:tc>
        <w:tc>
          <w:tcPr>
            <w:tcW w:w="597" w:type="pct"/>
            <w:noWrap/>
            <w:hideMark/>
          </w:tcPr>
          <w:p w14:paraId="3C14C7C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0.320</w:t>
            </w:r>
          </w:p>
        </w:tc>
        <w:tc>
          <w:tcPr>
            <w:tcW w:w="622" w:type="pct"/>
            <w:noWrap/>
            <w:hideMark/>
          </w:tcPr>
          <w:p w14:paraId="04414EA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-1.024</w:t>
            </w:r>
          </w:p>
        </w:tc>
      </w:tr>
      <w:tr w:rsidR="00227727" w:rsidRPr="00227727" w14:paraId="1D364B3D" w14:textId="77777777" w:rsidTr="00E772F3">
        <w:trPr>
          <w:trHeight w:val="288"/>
        </w:trPr>
        <w:tc>
          <w:tcPr>
            <w:tcW w:w="1496" w:type="pct"/>
            <w:noWrap/>
            <w:hideMark/>
          </w:tcPr>
          <w:p w14:paraId="50EBD0DD"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PW5</w:t>
            </w:r>
          </w:p>
        </w:tc>
        <w:tc>
          <w:tcPr>
            <w:tcW w:w="572" w:type="pct"/>
            <w:noWrap/>
            <w:hideMark/>
          </w:tcPr>
          <w:p w14:paraId="01B88C1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4.235</w:t>
            </w:r>
          </w:p>
        </w:tc>
        <w:tc>
          <w:tcPr>
            <w:tcW w:w="427" w:type="pct"/>
            <w:noWrap/>
            <w:hideMark/>
          </w:tcPr>
          <w:p w14:paraId="1FE35E7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21" w:type="pct"/>
            <w:noWrap/>
            <w:hideMark/>
          </w:tcPr>
          <w:p w14:paraId="70AAFA3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6A4D95F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3D7F5FA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0.995</w:t>
            </w:r>
          </w:p>
        </w:tc>
        <w:tc>
          <w:tcPr>
            <w:tcW w:w="597" w:type="pct"/>
            <w:noWrap/>
            <w:hideMark/>
          </w:tcPr>
          <w:p w14:paraId="5A86511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0.138</w:t>
            </w:r>
          </w:p>
        </w:tc>
        <w:tc>
          <w:tcPr>
            <w:tcW w:w="622" w:type="pct"/>
            <w:noWrap/>
            <w:hideMark/>
          </w:tcPr>
          <w:p w14:paraId="6DE249C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-1.123</w:t>
            </w:r>
          </w:p>
        </w:tc>
      </w:tr>
      <w:tr w:rsidR="00227727" w:rsidRPr="00227727" w14:paraId="6DCFBC32" w14:textId="77777777" w:rsidTr="00E772F3">
        <w:trPr>
          <w:trHeight w:val="288"/>
        </w:trPr>
        <w:tc>
          <w:tcPr>
            <w:tcW w:w="1496" w:type="pct"/>
            <w:noWrap/>
            <w:hideMark/>
          </w:tcPr>
          <w:p w14:paraId="46F1301D"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PW6</w:t>
            </w:r>
          </w:p>
        </w:tc>
        <w:tc>
          <w:tcPr>
            <w:tcW w:w="572" w:type="pct"/>
            <w:noWrap/>
            <w:hideMark/>
          </w:tcPr>
          <w:p w14:paraId="2DCF90E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4.223</w:t>
            </w:r>
          </w:p>
        </w:tc>
        <w:tc>
          <w:tcPr>
            <w:tcW w:w="427" w:type="pct"/>
            <w:noWrap/>
            <w:hideMark/>
          </w:tcPr>
          <w:p w14:paraId="0EF74CA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21" w:type="pct"/>
            <w:noWrap/>
            <w:hideMark/>
          </w:tcPr>
          <w:p w14:paraId="404589B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46C1683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04C87A1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0.960</w:t>
            </w:r>
          </w:p>
        </w:tc>
        <w:tc>
          <w:tcPr>
            <w:tcW w:w="597" w:type="pct"/>
            <w:noWrap/>
            <w:hideMark/>
          </w:tcPr>
          <w:p w14:paraId="1A00E2A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0.267</w:t>
            </w:r>
          </w:p>
        </w:tc>
        <w:tc>
          <w:tcPr>
            <w:tcW w:w="622" w:type="pct"/>
            <w:noWrap/>
            <w:hideMark/>
          </w:tcPr>
          <w:p w14:paraId="2F04FFA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-1.105</w:t>
            </w:r>
          </w:p>
        </w:tc>
      </w:tr>
      <w:tr w:rsidR="00227727" w:rsidRPr="00227727" w14:paraId="3D411A90" w14:textId="77777777" w:rsidTr="00E772F3">
        <w:trPr>
          <w:trHeight w:val="288"/>
        </w:trPr>
        <w:tc>
          <w:tcPr>
            <w:tcW w:w="1496" w:type="pct"/>
            <w:noWrap/>
            <w:hideMark/>
          </w:tcPr>
          <w:p w14:paraId="5573BBE7"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PW7</w:t>
            </w:r>
          </w:p>
        </w:tc>
        <w:tc>
          <w:tcPr>
            <w:tcW w:w="572" w:type="pct"/>
            <w:noWrap/>
            <w:hideMark/>
          </w:tcPr>
          <w:p w14:paraId="53FC82C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4.126</w:t>
            </w:r>
          </w:p>
        </w:tc>
        <w:tc>
          <w:tcPr>
            <w:tcW w:w="427" w:type="pct"/>
            <w:noWrap/>
            <w:hideMark/>
          </w:tcPr>
          <w:p w14:paraId="193201C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2E7B284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45C5F93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56F6E51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0.918</w:t>
            </w:r>
          </w:p>
        </w:tc>
        <w:tc>
          <w:tcPr>
            <w:tcW w:w="597" w:type="pct"/>
            <w:noWrap/>
            <w:hideMark/>
          </w:tcPr>
          <w:p w14:paraId="58BF4D9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0.282</w:t>
            </w:r>
          </w:p>
        </w:tc>
        <w:tc>
          <w:tcPr>
            <w:tcW w:w="622" w:type="pct"/>
            <w:noWrap/>
            <w:hideMark/>
          </w:tcPr>
          <w:p w14:paraId="3E116AF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-0.970</w:t>
            </w:r>
          </w:p>
        </w:tc>
      </w:tr>
      <w:tr w:rsidR="00227727" w:rsidRPr="00227727" w14:paraId="6F3D098B" w14:textId="77777777" w:rsidTr="00E772F3">
        <w:trPr>
          <w:trHeight w:val="288"/>
        </w:trPr>
        <w:tc>
          <w:tcPr>
            <w:tcW w:w="1496" w:type="pct"/>
            <w:noWrap/>
            <w:hideMark/>
          </w:tcPr>
          <w:p w14:paraId="05A4CCD3"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SW1</w:t>
            </w:r>
          </w:p>
        </w:tc>
        <w:tc>
          <w:tcPr>
            <w:tcW w:w="572" w:type="pct"/>
            <w:noWrap/>
            <w:hideMark/>
          </w:tcPr>
          <w:p w14:paraId="1E526B3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4.291</w:t>
            </w:r>
          </w:p>
        </w:tc>
        <w:tc>
          <w:tcPr>
            <w:tcW w:w="427" w:type="pct"/>
            <w:noWrap/>
            <w:hideMark/>
          </w:tcPr>
          <w:p w14:paraId="5AE79EB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21" w:type="pct"/>
            <w:noWrap/>
            <w:hideMark/>
          </w:tcPr>
          <w:p w14:paraId="02C0400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2465F25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760EAF3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0.957</w:t>
            </w:r>
          </w:p>
        </w:tc>
        <w:tc>
          <w:tcPr>
            <w:tcW w:w="597" w:type="pct"/>
            <w:noWrap/>
            <w:hideMark/>
          </w:tcPr>
          <w:p w14:paraId="2C660B3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2.356</w:t>
            </w:r>
          </w:p>
        </w:tc>
        <w:tc>
          <w:tcPr>
            <w:tcW w:w="622" w:type="pct"/>
            <w:noWrap/>
            <w:hideMark/>
          </w:tcPr>
          <w:p w14:paraId="61C8CBB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-1.596</w:t>
            </w:r>
          </w:p>
        </w:tc>
      </w:tr>
      <w:tr w:rsidR="00227727" w:rsidRPr="00227727" w14:paraId="5F8C49BD" w14:textId="77777777" w:rsidTr="00E772F3">
        <w:trPr>
          <w:trHeight w:val="288"/>
        </w:trPr>
        <w:tc>
          <w:tcPr>
            <w:tcW w:w="1496" w:type="pct"/>
            <w:noWrap/>
            <w:hideMark/>
          </w:tcPr>
          <w:p w14:paraId="13A40B51"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SW2</w:t>
            </w:r>
          </w:p>
        </w:tc>
        <w:tc>
          <w:tcPr>
            <w:tcW w:w="572" w:type="pct"/>
            <w:noWrap/>
            <w:hideMark/>
          </w:tcPr>
          <w:p w14:paraId="1752D29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4.262</w:t>
            </w:r>
          </w:p>
        </w:tc>
        <w:tc>
          <w:tcPr>
            <w:tcW w:w="427" w:type="pct"/>
            <w:noWrap/>
            <w:hideMark/>
          </w:tcPr>
          <w:p w14:paraId="5F66564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7408D70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122F183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33BFDD0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0.937</w:t>
            </w:r>
          </w:p>
        </w:tc>
        <w:tc>
          <w:tcPr>
            <w:tcW w:w="597" w:type="pct"/>
            <w:noWrap/>
            <w:hideMark/>
          </w:tcPr>
          <w:p w14:paraId="62901FF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2.115</w:t>
            </w:r>
          </w:p>
        </w:tc>
        <w:tc>
          <w:tcPr>
            <w:tcW w:w="622" w:type="pct"/>
            <w:noWrap/>
            <w:hideMark/>
          </w:tcPr>
          <w:p w14:paraId="4E27950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-1.504</w:t>
            </w:r>
          </w:p>
        </w:tc>
      </w:tr>
      <w:tr w:rsidR="00227727" w:rsidRPr="00227727" w14:paraId="38FC8844" w14:textId="77777777" w:rsidTr="00E772F3">
        <w:trPr>
          <w:trHeight w:val="288"/>
        </w:trPr>
        <w:tc>
          <w:tcPr>
            <w:tcW w:w="1496" w:type="pct"/>
            <w:noWrap/>
            <w:hideMark/>
          </w:tcPr>
          <w:p w14:paraId="23F5B399"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SW3</w:t>
            </w:r>
          </w:p>
        </w:tc>
        <w:tc>
          <w:tcPr>
            <w:tcW w:w="572" w:type="pct"/>
            <w:noWrap/>
            <w:hideMark/>
          </w:tcPr>
          <w:p w14:paraId="23F7C98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4.209</w:t>
            </w:r>
          </w:p>
        </w:tc>
        <w:tc>
          <w:tcPr>
            <w:tcW w:w="427" w:type="pct"/>
            <w:noWrap/>
            <w:hideMark/>
          </w:tcPr>
          <w:p w14:paraId="73FBFF4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257E78C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7FEC468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265A99E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0.927</w:t>
            </w:r>
          </w:p>
        </w:tc>
        <w:tc>
          <w:tcPr>
            <w:tcW w:w="597" w:type="pct"/>
            <w:noWrap/>
            <w:hideMark/>
          </w:tcPr>
          <w:p w14:paraId="7CCE621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2.680</w:t>
            </w:r>
          </w:p>
        </w:tc>
        <w:tc>
          <w:tcPr>
            <w:tcW w:w="622" w:type="pct"/>
            <w:noWrap/>
            <w:hideMark/>
          </w:tcPr>
          <w:p w14:paraId="149526C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-1.564</w:t>
            </w:r>
          </w:p>
        </w:tc>
      </w:tr>
      <w:tr w:rsidR="00227727" w:rsidRPr="00227727" w14:paraId="410137F1" w14:textId="77777777" w:rsidTr="00E772F3">
        <w:trPr>
          <w:trHeight w:val="288"/>
        </w:trPr>
        <w:tc>
          <w:tcPr>
            <w:tcW w:w="1496" w:type="pct"/>
            <w:noWrap/>
            <w:hideMark/>
          </w:tcPr>
          <w:p w14:paraId="4B045D7D"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SW4</w:t>
            </w:r>
          </w:p>
        </w:tc>
        <w:tc>
          <w:tcPr>
            <w:tcW w:w="572" w:type="pct"/>
            <w:noWrap/>
            <w:hideMark/>
          </w:tcPr>
          <w:p w14:paraId="0183548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4.114</w:t>
            </w:r>
          </w:p>
        </w:tc>
        <w:tc>
          <w:tcPr>
            <w:tcW w:w="427" w:type="pct"/>
            <w:noWrap/>
            <w:hideMark/>
          </w:tcPr>
          <w:p w14:paraId="264DDFB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148D075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015F63F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438BDF2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1.009</w:t>
            </w:r>
          </w:p>
        </w:tc>
        <w:tc>
          <w:tcPr>
            <w:tcW w:w="597" w:type="pct"/>
            <w:noWrap/>
            <w:hideMark/>
          </w:tcPr>
          <w:p w14:paraId="67FBBAA2"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0.320</w:t>
            </w:r>
          </w:p>
        </w:tc>
        <w:tc>
          <w:tcPr>
            <w:tcW w:w="622" w:type="pct"/>
            <w:noWrap/>
            <w:hideMark/>
          </w:tcPr>
          <w:p w14:paraId="3F33CB0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-1.055</w:t>
            </w:r>
          </w:p>
        </w:tc>
      </w:tr>
      <w:tr w:rsidR="00227727" w:rsidRPr="00227727" w14:paraId="2E06E131" w14:textId="77777777" w:rsidTr="00E772F3">
        <w:trPr>
          <w:trHeight w:val="288"/>
        </w:trPr>
        <w:tc>
          <w:tcPr>
            <w:tcW w:w="1496" w:type="pct"/>
            <w:noWrap/>
            <w:hideMark/>
          </w:tcPr>
          <w:p w14:paraId="66CBF54F"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SW5</w:t>
            </w:r>
          </w:p>
        </w:tc>
        <w:tc>
          <w:tcPr>
            <w:tcW w:w="572" w:type="pct"/>
            <w:noWrap/>
            <w:hideMark/>
          </w:tcPr>
          <w:p w14:paraId="398ED2F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4.216</w:t>
            </w:r>
          </w:p>
        </w:tc>
        <w:tc>
          <w:tcPr>
            <w:tcW w:w="427" w:type="pct"/>
            <w:noWrap/>
            <w:hideMark/>
          </w:tcPr>
          <w:p w14:paraId="373FD32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26934F7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7C5C3DB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79B8FCE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0.963</w:t>
            </w:r>
          </w:p>
        </w:tc>
        <w:tc>
          <w:tcPr>
            <w:tcW w:w="597" w:type="pct"/>
            <w:noWrap/>
            <w:hideMark/>
          </w:tcPr>
          <w:p w14:paraId="48CC3A1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3.172</w:t>
            </w:r>
          </w:p>
        </w:tc>
        <w:tc>
          <w:tcPr>
            <w:tcW w:w="622" w:type="pct"/>
            <w:noWrap/>
            <w:hideMark/>
          </w:tcPr>
          <w:p w14:paraId="5DDE238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-1.706</w:t>
            </w:r>
          </w:p>
        </w:tc>
      </w:tr>
      <w:tr w:rsidR="00227727" w:rsidRPr="00227727" w14:paraId="02267DBA" w14:textId="77777777" w:rsidTr="00E772F3">
        <w:trPr>
          <w:trHeight w:val="288"/>
        </w:trPr>
        <w:tc>
          <w:tcPr>
            <w:tcW w:w="1496" w:type="pct"/>
            <w:noWrap/>
            <w:hideMark/>
          </w:tcPr>
          <w:p w14:paraId="58F9F023" w14:textId="77777777" w:rsidR="00227727" w:rsidRPr="00227727" w:rsidRDefault="00227727" w:rsidP="00E772F3">
            <w:pPr>
              <w:spacing w:line="360" w:lineRule="auto"/>
              <w:rPr>
                <w:rFonts w:ascii="Arial" w:eastAsia="Times New Roman" w:hAnsi="Arial" w:cs="Arial"/>
                <w:color w:val="auto"/>
                <w:sz w:val="20"/>
                <w:szCs w:val="20"/>
              </w:rPr>
            </w:pPr>
            <w:r w:rsidRPr="00227727">
              <w:rPr>
                <w:rFonts w:ascii="Arial" w:eastAsia="Times New Roman" w:hAnsi="Arial" w:cs="Arial"/>
                <w:color w:val="auto"/>
                <w:sz w:val="20"/>
                <w:szCs w:val="20"/>
              </w:rPr>
              <w:t>SW6</w:t>
            </w:r>
          </w:p>
        </w:tc>
        <w:tc>
          <w:tcPr>
            <w:tcW w:w="572" w:type="pct"/>
            <w:noWrap/>
            <w:hideMark/>
          </w:tcPr>
          <w:p w14:paraId="077E58A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4.192</w:t>
            </w:r>
          </w:p>
        </w:tc>
        <w:tc>
          <w:tcPr>
            <w:tcW w:w="427" w:type="pct"/>
            <w:noWrap/>
            <w:hideMark/>
          </w:tcPr>
          <w:p w14:paraId="151C457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4.000</w:t>
            </w:r>
          </w:p>
        </w:tc>
        <w:tc>
          <w:tcPr>
            <w:tcW w:w="421" w:type="pct"/>
            <w:noWrap/>
            <w:hideMark/>
          </w:tcPr>
          <w:p w14:paraId="78A148D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387" w:type="pct"/>
            <w:noWrap/>
            <w:hideMark/>
          </w:tcPr>
          <w:p w14:paraId="5E74F1F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5.000</w:t>
            </w:r>
          </w:p>
        </w:tc>
        <w:tc>
          <w:tcPr>
            <w:tcW w:w="478" w:type="pct"/>
            <w:noWrap/>
            <w:hideMark/>
          </w:tcPr>
          <w:p w14:paraId="47738D0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0.945</w:t>
            </w:r>
          </w:p>
        </w:tc>
        <w:tc>
          <w:tcPr>
            <w:tcW w:w="597" w:type="pct"/>
            <w:noWrap/>
            <w:hideMark/>
          </w:tcPr>
          <w:p w14:paraId="36F6793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2.514</w:t>
            </w:r>
          </w:p>
        </w:tc>
        <w:tc>
          <w:tcPr>
            <w:tcW w:w="622" w:type="pct"/>
            <w:noWrap/>
            <w:hideMark/>
          </w:tcPr>
          <w:p w14:paraId="28954937"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-1.517</w:t>
            </w:r>
          </w:p>
        </w:tc>
      </w:tr>
    </w:tbl>
    <w:p w14:paraId="19B20BA2" w14:textId="77777777" w:rsidR="00227727" w:rsidRPr="00227727" w:rsidRDefault="00227727" w:rsidP="00227727">
      <w:pPr>
        <w:rPr>
          <w:rFonts w:ascii="Arial" w:hAnsi="Arial" w:cs="Arial"/>
        </w:rPr>
      </w:pPr>
    </w:p>
    <w:p w14:paraId="5E750F22" w14:textId="77777777" w:rsidR="00227727" w:rsidRPr="00227727" w:rsidRDefault="00227727" w:rsidP="00227727">
      <w:pPr>
        <w:rPr>
          <w:rFonts w:ascii="Arial" w:hAnsi="Arial" w:cs="Arial"/>
        </w:rPr>
      </w:pPr>
    </w:p>
    <w:p w14:paraId="4BD26E8E" w14:textId="77777777" w:rsidR="00227727" w:rsidRPr="00227727" w:rsidRDefault="00227727" w:rsidP="00227727">
      <w:pPr>
        <w:rPr>
          <w:rFonts w:ascii="Arial" w:hAnsi="Arial" w:cs="Arial"/>
        </w:rPr>
      </w:pPr>
    </w:p>
    <w:p w14:paraId="62E82A4E" w14:textId="77777777" w:rsidR="00227727" w:rsidRPr="00227727" w:rsidRDefault="00227727" w:rsidP="00227727">
      <w:pPr>
        <w:rPr>
          <w:rFonts w:ascii="Arial" w:hAnsi="Arial" w:cs="Arial"/>
        </w:rPr>
      </w:pPr>
    </w:p>
    <w:p w14:paraId="7FABE1AD" w14:textId="77777777" w:rsidR="00227727" w:rsidRPr="00227727" w:rsidRDefault="00227727" w:rsidP="00227727">
      <w:pPr>
        <w:rPr>
          <w:rFonts w:ascii="Arial" w:hAnsi="Arial" w:cs="Arial"/>
        </w:rPr>
      </w:pPr>
    </w:p>
    <w:p w14:paraId="7FFDA6E6" w14:textId="77777777" w:rsidR="00227727" w:rsidRPr="00227727" w:rsidRDefault="00227727" w:rsidP="00227727">
      <w:pPr>
        <w:pStyle w:val="Heading3"/>
        <w:rPr>
          <w:rFonts w:ascii="Arial" w:hAnsi="Arial" w:cs="Arial"/>
          <w:b/>
        </w:rPr>
      </w:pPr>
    </w:p>
    <w:p w14:paraId="40F8CBE7" w14:textId="77777777" w:rsidR="00227727" w:rsidRPr="00227727" w:rsidRDefault="00227727" w:rsidP="00227727">
      <w:pPr>
        <w:pStyle w:val="Heading3"/>
        <w:spacing w:line="360" w:lineRule="auto"/>
        <w:rPr>
          <w:rFonts w:ascii="Arial" w:hAnsi="Arial" w:cs="Arial"/>
        </w:rPr>
      </w:pPr>
      <w:r w:rsidRPr="00227727">
        <w:rPr>
          <w:rFonts w:ascii="Arial" w:hAnsi="Arial" w:cs="Arial"/>
          <w:b/>
        </w:rPr>
        <w:t>Appendix C:</w:t>
      </w:r>
      <w:r w:rsidRPr="00227727">
        <w:rPr>
          <w:rFonts w:ascii="Arial" w:hAnsi="Arial" w:cs="Arial"/>
        </w:rPr>
        <w:t xml:space="preserve"> Items-wise VIF</w:t>
      </w:r>
    </w:p>
    <w:tbl>
      <w:tblPr>
        <w:tblStyle w:val="ListTable6Colourful"/>
        <w:tblW w:w="6580" w:type="dxa"/>
        <w:tblLook w:val="0620" w:firstRow="1" w:lastRow="0" w:firstColumn="0" w:lastColumn="0" w:noHBand="1" w:noVBand="1"/>
      </w:tblPr>
      <w:tblGrid>
        <w:gridCol w:w="4760"/>
        <w:gridCol w:w="1820"/>
      </w:tblGrid>
      <w:tr w:rsidR="00227727" w:rsidRPr="00227727" w14:paraId="0926C2E9"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4760" w:type="dxa"/>
            <w:noWrap/>
            <w:hideMark/>
          </w:tcPr>
          <w:p w14:paraId="23B32A9F"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Items</w:t>
            </w:r>
          </w:p>
        </w:tc>
        <w:tc>
          <w:tcPr>
            <w:tcW w:w="1820" w:type="dxa"/>
            <w:noWrap/>
            <w:hideMark/>
          </w:tcPr>
          <w:p w14:paraId="2B76D71A"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VIF</w:t>
            </w:r>
          </w:p>
        </w:tc>
      </w:tr>
      <w:tr w:rsidR="00227727" w:rsidRPr="00227727" w14:paraId="2FA1C7C4" w14:textId="77777777" w:rsidTr="00E772F3">
        <w:trPr>
          <w:trHeight w:val="288"/>
        </w:trPr>
        <w:tc>
          <w:tcPr>
            <w:tcW w:w="4760" w:type="dxa"/>
            <w:noWrap/>
            <w:hideMark/>
          </w:tcPr>
          <w:p w14:paraId="2F101C8B"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HRMP1</w:t>
            </w:r>
          </w:p>
        </w:tc>
        <w:tc>
          <w:tcPr>
            <w:tcW w:w="1820" w:type="dxa"/>
            <w:noWrap/>
            <w:hideMark/>
          </w:tcPr>
          <w:p w14:paraId="1823C74E"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1.546</w:t>
            </w:r>
          </w:p>
        </w:tc>
      </w:tr>
      <w:tr w:rsidR="00227727" w:rsidRPr="00227727" w14:paraId="349C792F" w14:textId="77777777" w:rsidTr="00E772F3">
        <w:trPr>
          <w:trHeight w:val="288"/>
        </w:trPr>
        <w:tc>
          <w:tcPr>
            <w:tcW w:w="4760" w:type="dxa"/>
            <w:noWrap/>
            <w:hideMark/>
          </w:tcPr>
          <w:p w14:paraId="6C79682B"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HRMP2</w:t>
            </w:r>
          </w:p>
        </w:tc>
        <w:tc>
          <w:tcPr>
            <w:tcW w:w="1820" w:type="dxa"/>
            <w:noWrap/>
            <w:hideMark/>
          </w:tcPr>
          <w:p w14:paraId="089E1BC8"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1.660</w:t>
            </w:r>
          </w:p>
        </w:tc>
      </w:tr>
      <w:tr w:rsidR="00227727" w:rsidRPr="00227727" w14:paraId="5CB40E11" w14:textId="77777777" w:rsidTr="00E772F3">
        <w:trPr>
          <w:trHeight w:val="288"/>
        </w:trPr>
        <w:tc>
          <w:tcPr>
            <w:tcW w:w="4760" w:type="dxa"/>
            <w:noWrap/>
            <w:hideMark/>
          </w:tcPr>
          <w:p w14:paraId="71E1DC62"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HRMP3</w:t>
            </w:r>
          </w:p>
        </w:tc>
        <w:tc>
          <w:tcPr>
            <w:tcW w:w="1820" w:type="dxa"/>
            <w:noWrap/>
            <w:hideMark/>
          </w:tcPr>
          <w:p w14:paraId="00D0936B"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1.761</w:t>
            </w:r>
          </w:p>
        </w:tc>
      </w:tr>
      <w:tr w:rsidR="00227727" w:rsidRPr="00227727" w14:paraId="08B946F9" w14:textId="77777777" w:rsidTr="00E772F3">
        <w:trPr>
          <w:trHeight w:val="288"/>
        </w:trPr>
        <w:tc>
          <w:tcPr>
            <w:tcW w:w="4760" w:type="dxa"/>
            <w:noWrap/>
            <w:hideMark/>
          </w:tcPr>
          <w:p w14:paraId="028C83BD"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HRMP4</w:t>
            </w:r>
          </w:p>
        </w:tc>
        <w:tc>
          <w:tcPr>
            <w:tcW w:w="1820" w:type="dxa"/>
            <w:noWrap/>
            <w:hideMark/>
          </w:tcPr>
          <w:p w14:paraId="63A69544"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1.416</w:t>
            </w:r>
          </w:p>
        </w:tc>
      </w:tr>
      <w:tr w:rsidR="00227727" w:rsidRPr="00227727" w14:paraId="08EC53F7" w14:textId="77777777" w:rsidTr="00E772F3">
        <w:trPr>
          <w:trHeight w:val="288"/>
        </w:trPr>
        <w:tc>
          <w:tcPr>
            <w:tcW w:w="4760" w:type="dxa"/>
            <w:noWrap/>
            <w:hideMark/>
          </w:tcPr>
          <w:p w14:paraId="46E46CD6"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JP1</w:t>
            </w:r>
          </w:p>
        </w:tc>
        <w:tc>
          <w:tcPr>
            <w:tcW w:w="1820" w:type="dxa"/>
            <w:noWrap/>
            <w:hideMark/>
          </w:tcPr>
          <w:p w14:paraId="4430384A"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1.841</w:t>
            </w:r>
          </w:p>
        </w:tc>
      </w:tr>
      <w:tr w:rsidR="00227727" w:rsidRPr="00227727" w14:paraId="26CD2DB5" w14:textId="77777777" w:rsidTr="00E772F3">
        <w:trPr>
          <w:trHeight w:val="288"/>
        </w:trPr>
        <w:tc>
          <w:tcPr>
            <w:tcW w:w="4760" w:type="dxa"/>
            <w:noWrap/>
            <w:hideMark/>
          </w:tcPr>
          <w:p w14:paraId="6D5DDF7A"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JP2</w:t>
            </w:r>
          </w:p>
        </w:tc>
        <w:tc>
          <w:tcPr>
            <w:tcW w:w="1820" w:type="dxa"/>
            <w:noWrap/>
            <w:hideMark/>
          </w:tcPr>
          <w:p w14:paraId="455346BA"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1.773</w:t>
            </w:r>
          </w:p>
        </w:tc>
      </w:tr>
      <w:tr w:rsidR="00227727" w:rsidRPr="00227727" w14:paraId="5B8E59AF" w14:textId="77777777" w:rsidTr="00E772F3">
        <w:trPr>
          <w:trHeight w:val="288"/>
        </w:trPr>
        <w:tc>
          <w:tcPr>
            <w:tcW w:w="4760" w:type="dxa"/>
            <w:noWrap/>
            <w:hideMark/>
          </w:tcPr>
          <w:p w14:paraId="285F2DF4"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JP3</w:t>
            </w:r>
          </w:p>
        </w:tc>
        <w:tc>
          <w:tcPr>
            <w:tcW w:w="1820" w:type="dxa"/>
            <w:noWrap/>
            <w:hideMark/>
          </w:tcPr>
          <w:p w14:paraId="6672C221"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1.626</w:t>
            </w:r>
          </w:p>
        </w:tc>
      </w:tr>
      <w:tr w:rsidR="00227727" w:rsidRPr="00227727" w14:paraId="2E3D3E7A" w14:textId="77777777" w:rsidTr="00E772F3">
        <w:trPr>
          <w:trHeight w:val="288"/>
        </w:trPr>
        <w:tc>
          <w:tcPr>
            <w:tcW w:w="4760" w:type="dxa"/>
            <w:noWrap/>
            <w:hideMark/>
          </w:tcPr>
          <w:p w14:paraId="7F13656A"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JP4</w:t>
            </w:r>
          </w:p>
        </w:tc>
        <w:tc>
          <w:tcPr>
            <w:tcW w:w="1820" w:type="dxa"/>
            <w:noWrap/>
            <w:hideMark/>
          </w:tcPr>
          <w:p w14:paraId="2626815B"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1.527</w:t>
            </w:r>
          </w:p>
        </w:tc>
      </w:tr>
      <w:tr w:rsidR="00227727" w:rsidRPr="00227727" w14:paraId="551302F4" w14:textId="77777777" w:rsidTr="00E772F3">
        <w:trPr>
          <w:trHeight w:val="288"/>
        </w:trPr>
        <w:tc>
          <w:tcPr>
            <w:tcW w:w="4760" w:type="dxa"/>
            <w:noWrap/>
            <w:hideMark/>
          </w:tcPr>
          <w:p w14:paraId="7E928D8E"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JS3</w:t>
            </w:r>
          </w:p>
        </w:tc>
        <w:tc>
          <w:tcPr>
            <w:tcW w:w="1820" w:type="dxa"/>
            <w:noWrap/>
            <w:hideMark/>
          </w:tcPr>
          <w:p w14:paraId="574D8C7A"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2.633</w:t>
            </w:r>
          </w:p>
        </w:tc>
      </w:tr>
      <w:tr w:rsidR="00227727" w:rsidRPr="00227727" w14:paraId="10FB4762" w14:textId="77777777" w:rsidTr="00E772F3">
        <w:trPr>
          <w:trHeight w:val="288"/>
        </w:trPr>
        <w:tc>
          <w:tcPr>
            <w:tcW w:w="4760" w:type="dxa"/>
            <w:noWrap/>
            <w:hideMark/>
          </w:tcPr>
          <w:p w14:paraId="5565344A"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JS4</w:t>
            </w:r>
          </w:p>
        </w:tc>
        <w:tc>
          <w:tcPr>
            <w:tcW w:w="1820" w:type="dxa"/>
            <w:noWrap/>
            <w:hideMark/>
          </w:tcPr>
          <w:p w14:paraId="2693D912"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2.316</w:t>
            </w:r>
          </w:p>
        </w:tc>
      </w:tr>
      <w:tr w:rsidR="00227727" w:rsidRPr="00227727" w14:paraId="65AC3422" w14:textId="77777777" w:rsidTr="00E772F3">
        <w:trPr>
          <w:trHeight w:val="288"/>
        </w:trPr>
        <w:tc>
          <w:tcPr>
            <w:tcW w:w="4760" w:type="dxa"/>
            <w:noWrap/>
            <w:hideMark/>
          </w:tcPr>
          <w:p w14:paraId="12EE24CA"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JS5</w:t>
            </w:r>
          </w:p>
        </w:tc>
        <w:tc>
          <w:tcPr>
            <w:tcW w:w="1820" w:type="dxa"/>
            <w:noWrap/>
            <w:hideMark/>
          </w:tcPr>
          <w:p w14:paraId="550616F9"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1.999</w:t>
            </w:r>
          </w:p>
        </w:tc>
      </w:tr>
      <w:tr w:rsidR="00227727" w:rsidRPr="00227727" w14:paraId="21C2E520" w14:textId="77777777" w:rsidTr="00E772F3">
        <w:trPr>
          <w:trHeight w:val="288"/>
        </w:trPr>
        <w:tc>
          <w:tcPr>
            <w:tcW w:w="4760" w:type="dxa"/>
            <w:noWrap/>
            <w:hideMark/>
          </w:tcPr>
          <w:p w14:paraId="1A58E8DA"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JS6</w:t>
            </w:r>
          </w:p>
        </w:tc>
        <w:tc>
          <w:tcPr>
            <w:tcW w:w="1820" w:type="dxa"/>
            <w:noWrap/>
            <w:hideMark/>
          </w:tcPr>
          <w:p w14:paraId="5FE9A745"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1.826</w:t>
            </w:r>
          </w:p>
        </w:tc>
      </w:tr>
      <w:tr w:rsidR="00227727" w:rsidRPr="00227727" w14:paraId="70AB5012" w14:textId="77777777" w:rsidTr="00E772F3">
        <w:trPr>
          <w:trHeight w:val="288"/>
        </w:trPr>
        <w:tc>
          <w:tcPr>
            <w:tcW w:w="4760" w:type="dxa"/>
            <w:noWrap/>
            <w:hideMark/>
          </w:tcPr>
          <w:p w14:paraId="4CDCB50C"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JS7</w:t>
            </w:r>
          </w:p>
        </w:tc>
        <w:tc>
          <w:tcPr>
            <w:tcW w:w="1820" w:type="dxa"/>
            <w:noWrap/>
            <w:hideMark/>
          </w:tcPr>
          <w:p w14:paraId="4A1A5E95"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2.530</w:t>
            </w:r>
          </w:p>
        </w:tc>
      </w:tr>
      <w:tr w:rsidR="00227727" w:rsidRPr="00227727" w14:paraId="0D0754FA" w14:textId="77777777" w:rsidTr="00E772F3">
        <w:trPr>
          <w:trHeight w:val="288"/>
        </w:trPr>
        <w:tc>
          <w:tcPr>
            <w:tcW w:w="4760" w:type="dxa"/>
            <w:noWrap/>
            <w:hideMark/>
          </w:tcPr>
          <w:p w14:paraId="772BA97D"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JS8</w:t>
            </w:r>
          </w:p>
        </w:tc>
        <w:tc>
          <w:tcPr>
            <w:tcW w:w="1820" w:type="dxa"/>
            <w:noWrap/>
            <w:hideMark/>
          </w:tcPr>
          <w:p w14:paraId="61121047"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2.257</w:t>
            </w:r>
          </w:p>
        </w:tc>
      </w:tr>
      <w:tr w:rsidR="00227727" w:rsidRPr="00227727" w14:paraId="23B503B6" w14:textId="77777777" w:rsidTr="00E772F3">
        <w:trPr>
          <w:trHeight w:val="288"/>
        </w:trPr>
        <w:tc>
          <w:tcPr>
            <w:tcW w:w="4760" w:type="dxa"/>
            <w:noWrap/>
            <w:hideMark/>
          </w:tcPr>
          <w:p w14:paraId="6D53C4D9"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JS9</w:t>
            </w:r>
          </w:p>
        </w:tc>
        <w:tc>
          <w:tcPr>
            <w:tcW w:w="1820" w:type="dxa"/>
            <w:noWrap/>
            <w:hideMark/>
          </w:tcPr>
          <w:p w14:paraId="41B3A45B"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2.394</w:t>
            </w:r>
          </w:p>
        </w:tc>
      </w:tr>
      <w:tr w:rsidR="00227727" w:rsidRPr="00227727" w14:paraId="6F051C7A" w14:textId="77777777" w:rsidTr="00E772F3">
        <w:trPr>
          <w:trHeight w:val="288"/>
        </w:trPr>
        <w:tc>
          <w:tcPr>
            <w:tcW w:w="4760" w:type="dxa"/>
            <w:noWrap/>
            <w:hideMark/>
          </w:tcPr>
          <w:p w14:paraId="725C2FFC"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JSA1</w:t>
            </w:r>
          </w:p>
        </w:tc>
        <w:tc>
          <w:tcPr>
            <w:tcW w:w="1820" w:type="dxa"/>
            <w:noWrap/>
            <w:hideMark/>
          </w:tcPr>
          <w:p w14:paraId="55A9D2B4"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2.765</w:t>
            </w:r>
          </w:p>
        </w:tc>
      </w:tr>
      <w:tr w:rsidR="00227727" w:rsidRPr="00227727" w14:paraId="3AC2C3BA" w14:textId="77777777" w:rsidTr="00E772F3">
        <w:trPr>
          <w:trHeight w:val="288"/>
        </w:trPr>
        <w:tc>
          <w:tcPr>
            <w:tcW w:w="4760" w:type="dxa"/>
            <w:noWrap/>
            <w:hideMark/>
          </w:tcPr>
          <w:p w14:paraId="32227366"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JSA2</w:t>
            </w:r>
          </w:p>
        </w:tc>
        <w:tc>
          <w:tcPr>
            <w:tcW w:w="1820" w:type="dxa"/>
            <w:noWrap/>
            <w:hideMark/>
          </w:tcPr>
          <w:p w14:paraId="6EB1EC4A"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2.356</w:t>
            </w:r>
          </w:p>
        </w:tc>
      </w:tr>
      <w:tr w:rsidR="00227727" w:rsidRPr="00227727" w14:paraId="0FEA5177" w14:textId="77777777" w:rsidTr="00E772F3">
        <w:trPr>
          <w:trHeight w:val="288"/>
        </w:trPr>
        <w:tc>
          <w:tcPr>
            <w:tcW w:w="4760" w:type="dxa"/>
            <w:noWrap/>
            <w:hideMark/>
          </w:tcPr>
          <w:p w14:paraId="5CDB7F2D"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JSA3</w:t>
            </w:r>
          </w:p>
        </w:tc>
        <w:tc>
          <w:tcPr>
            <w:tcW w:w="1820" w:type="dxa"/>
            <w:noWrap/>
            <w:hideMark/>
          </w:tcPr>
          <w:p w14:paraId="6BAABB8F"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2.187</w:t>
            </w:r>
          </w:p>
        </w:tc>
      </w:tr>
      <w:tr w:rsidR="00227727" w:rsidRPr="00227727" w14:paraId="45720F9F" w14:textId="77777777" w:rsidTr="00E772F3">
        <w:trPr>
          <w:trHeight w:val="288"/>
        </w:trPr>
        <w:tc>
          <w:tcPr>
            <w:tcW w:w="4760" w:type="dxa"/>
            <w:noWrap/>
            <w:hideMark/>
          </w:tcPr>
          <w:p w14:paraId="2B440717"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JSA4</w:t>
            </w:r>
          </w:p>
        </w:tc>
        <w:tc>
          <w:tcPr>
            <w:tcW w:w="1820" w:type="dxa"/>
            <w:noWrap/>
            <w:hideMark/>
          </w:tcPr>
          <w:p w14:paraId="6BD0D46B"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2.743</w:t>
            </w:r>
          </w:p>
        </w:tc>
      </w:tr>
      <w:tr w:rsidR="00227727" w:rsidRPr="00227727" w14:paraId="54B065C1" w14:textId="77777777" w:rsidTr="00E772F3">
        <w:trPr>
          <w:trHeight w:val="288"/>
        </w:trPr>
        <w:tc>
          <w:tcPr>
            <w:tcW w:w="4760" w:type="dxa"/>
            <w:noWrap/>
            <w:hideMark/>
          </w:tcPr>
          <w:p w14:paraId="43CE1F41"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JSA5</w:t>
            </w:r>
          </w:p>
        </w:tc>
        <w:tc>
          <w:tcPr>
            <w:tcW w:w="1820" w:type="dxa"/>
            <w:noWrap/>
            <w:hideMark/>
          </w:tcPr>
          <w:p w14:paraId="5591C7F2"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2.310</w:t>
            </w:r>
          </w:p>
        </w:tc>
      </w:tr>
      <w:tr w:rsidR="00227727" w:rsidRPr="00227727" w14:paraId="2E9C8743" w14:textId="77777777" w:rsidTr="00E772F3">
        <w:trPr>
          <w:trHeight w:val="288"/>
        </w:trPr>
        <w:tc>
          <w:tcPr>
            <w:tcW w:w="4760" w:type="dxa"/>
            <w:noWrap/>
            <w:hideMark/>
          </w:tcPr>
          <w:p w14:paraId="0E3C8AF6"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JSA6</w:t>
            </w:r>
          </w:p>
        </w:tc>
        <w:tc>
          <w:tcPr>
            <w:tcW w:w="1820" w:type="dxa"/>
            <w:noWrap/>
            <w:hideMark/>
          </w:tcPr>
          <w:p w14:paraId="43ABBDC8"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2.135</w:t>
            </w:r>
          </w:p>
        </w:tc>
      </w:tr>
      <w:tr w:rsidR="00227727" w:rsidRPr="00227727" w14:paraId="43310CEA" w14:textId="77777777" w:rsidTr="00E772F3">
        <w:trPr>
          <w:trHeight w:val="288"/>
        </w:trPr>
        <w:tc>
          <w:tcPr>
            <w:tcW w:w="4760" w:type="dxa"/>
            <w:noWrap/>
            <w:hideMark/>
          </w:tcPr>
          <w:p w14:paraId="45FDD481"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PW1</w:t>
            </w:r>
          </w:p>
        </w:tc>
        <w:tc>
          <w:tcPr>
            <w:tcW w:w="1820" w:type="dxa"/>
            <w:noWrap/>
            <w:hideMark/>
          </w:tcPr>
          <w:p w14:paraId="35CE376C"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2.159</w:t>
            </w:r>
          </w:p>
        </w:tc>
      </w:tr>
      <w:tr w:rsidR="00227727" w:rsidRPr="00227727" w14:paraId="36271FE6" w14:textId="77777777" w:rsidTr="00E772F3">
        <w:trPr>
          <w:trHeight w:val="288"/>
        </w:trPr>
        <w:tc>
          <w:tcPr>
            <w:tcW w:w="4760" w:type="dxa"/>
            <w:noWrap/>
            <w:hideMark/>
          </w:tcPr>
          <w:p w14:paraId="4BC94F50"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PW2</w:t>
            </w:r>
          </w:p>
        </w:tc>
        <w:tc>
          <w:tcPr>
            <w:tcW w:w="1820" w:type="dxa"/>
            <w:noWrap/>
            <w:hideMark/>
          </w:tcPr>
          <w:p w14:paraId="04F495E5"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2.207</w:t>
            </w:r>
          </w:p>
        </w:tc>
      </w:tr>
      <w:tr w:rsidR="00227727" w:rsidRPr="00227727" w14:paraId="0C5B7055" w14:textId="77777777" w:rsidTr="00E772F3">
        <w:trPr>
          <w:trHeight w:val="288"/>
        </w:trPr>
        <w:tc>
          <w:tcPr>
            <w:tcW w:w="4760" w:type="dxa"/>
            <w:noWrap/>
            <w:hideMark/>
          </w:tcPr>
          <w:p w14:paraId="15FF8CC1"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PW3</w:t>
            </w:r>
          </w:p>
        </w:tc>
        <w:tc>
          <w:tcPr>
            <w:tcW w:w="1820" w:type="dxa"/>
            <w:noWrap/>
            <w:hideMark/>
          </w:tcPr>
          <w:p w14:paraId="07C7858F"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2.378</w:t>
            </w:r>
          </w:p>
        </w:tc>
      </w:tr>
      <w:tr w:rsidR="00227727" w:rsidRPr="00227727" w14:paraId="14D9DA0E" w14:textId="77777777" w:rsidTr="00E772F3">
        <w:trPr>
          <w:trHeight w:val="288"/>
        </w:trPr>
        <w:tc>
          <w:tcPr>
            <w:tcW w:w="4760" w:type="dxa"/>
            <w:noWrap/>
            <w:hideMark/>
          </w:tcPr>
          <w:p w14:paraId="2AF114E4"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PW4</w:t>
            </w:r>
          </w:p>
        </w:tc>
        <w:tc>
          <w:tcPr>
            <w:tcW w:w="1820" w:type="dxa"/>
            <w:noWrap/>
            <w:hideMark/>
          </w:tcPr>
          <w:p w14:paraId="7DBB4884"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2.473</w:t>
            </w:r>
          </w:p>
        </w:tc>
      </w:tr>
      <w:tr w:rsidR="00227727" w:rsidRPr="00227727" w14:paraId="0615C092" w14:textId="77777777" w:rsidTr="00E772F3">
        <w:trPr>
          <w:trHeight w:val="288"/>
        </w:trPr>
        <w:tc>
          <w:tcPr>
            <w:tcW w:w="4760" w:type="dxa"/>
            <w:noWrap/>
            <w:hideMark/>
          </w:tcPr>
          <w:p w14:paraId="048F065C"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PW5</w:t>
            </w:r>
          </w:p>
        </w:tc>
        <w:tc>
          <w:tcPr>
            <w:tcW w:w="1820" w:type="dxa"/>
            <w:noWrap/>
            <w:hideMark/>
          </w:tcPr>
          <w:p w14:paraId="7DF39E88"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3.062</w:t>
            </w:r>
          </w:p>
        </w:tc>
      </w:tr>
      <w:tr w:rsidR="00227727" w:rsidRPr="00227727" w14:paraId="0660F87B" w14:textId="77777777" w:rsidTr="00E772F3">
        <w:trPr>
          <w:trHeight w:val="288"/>
        </w:trPr>
        <w:tc>
          <w:tcPr>
            <w:tcW w:w="4760" w:type="dxa"/>
            <w:noWrap/>
            <w:hideMark/>
          </w:tcPr>
          <w:p w14:paraId="0B894994"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PW6</w:t>
            </w:r>
          </w:p>
        </w:tc>
        <w:tc>
          <w:tcPr>
            <w:tcW w:w="1820" w:type="dxa"/>
            <w:noWrap/>
            <w:hideMark/>
          </w:tcPr>
          <w:p w14:paraId="2CD87082"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3.011</w:t>
            </w:r>
          </w:p>
        </w:tc>
      </w:tr>
      <w:tr w:rsidR="00227727" w:rsidRPr="00227727" w14:paraId="10F5FADF" w14:textId="77777777" w:rsidTr="00E772F3">
        <w:trPr>
          <w:trHeight w:val="288"/>
        </w:trPr>
        <w:tc>
          <w:tcPr>
            <w:tcW w:w="4760" w:type="dxa"/>
            <w:noWrap/>
            <w:hideMark/>
          </w:tcPr>
          <w:p w14:paraId="51294493"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PW7</w:t>
            </w:r>
          </w:p>
        </w:tc>
        <w:tc>
          <w:tcPr>
            <w:tcW w:w="1820" w:type="dxa"/>
            <w:noWrap/>
            <w:hideMark/>
          </w:tcPr>
          <w:p w14:paraId="37389697"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2.349</w:t>
            </w:r>
          </w:p>
        </w:tc>
      </w:tr>
      <w:tr w:rsidR="00227727" w:rsidRPr="00227727" w14:paraId="07A13CF6" w14:textId="77777777" w:rsidTr="00E772F3">
        <w:trPr>
          <w:trHeight w:val="288"/>
        </w:trPr>
        <w:tc>
          <w:tcPr>
            <w:tcW w:w="4760" w:type="dxa"/>
            <w:noWrap/>
            <w:hideMark/>
          </w:tcPr>
          <w:p w14:paraId="47A5F296"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SW1</w:t>
            </w:r>
          </w:p>
        </w:tc>
        <w:tc>
          <w:tcPr>
            <w:tcW w:w="1820" w:type="dxa"/>
            <w:noWrap/>
            <w:hideMark/>
          </w:tcPr>
          <w:p w14:paraId="44583976"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1.807</w:t>
            </w:r>
          </w:p>
        </w:tc>
      </w:tr>
      <w:tr w:rsidR="00227727" w:rsidRPr="00227727" w14:paraId="2BBCB61C" w14:textId="77777777" w:rsidTr="00E772F3">
        <w:trPr>
          <w:trHeight w:val="288"/>
        </w:trPr>
        <w:tc>
          <w:tcPr>
            <w:tcW w:w="4760" w:type="dxa"/>
            <w:noWrap/>
            <w:hideMark/>
          </w:tcPr>
          <w:p w14:paraId="4FAC5BB8"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SW2</w:t>
            </w:r>
          </w:p>
        </w:tc>
        <w:tc>
          <w:tcPr>
            <w:tcW w:w="1820" w:type="dxa"/>
            <w:noWrap/>
            <w:hideMark/>
          </w:tcPr>
          <w:p w14:paraId="22477E15"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1.747</w:t>
            </w:r>
          </w:p>
        </w:tc>
      </w:tr>
      <w:tr w:rsidR="00227727" w:rsidRPr="00227727" w14:paraId="68EE9D60" w14:textId="77777777" w:rsidTr="00E772F3">
        <w:trPr>
          <w:trHeight w:val="288"/>
        </w:trPr>
        <w:tc>
          <w:tcPr>
            <w:tcW w:w="4760" w:type="dxa"/>
            <w:noWrap/>
            <w:hideMark/>
          </w:tcPr>
          <w:p w14:paraId="01A318C8"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SW3</w:t>
            </w:r>
          </w:p>
        </w:tc>
        <w:tc>
          <w:tcPr>
            <w:tcW w:w="1820" w:type="dxa"/>
            <w:noWrap/>
            <w:hideMark/>
          </w:tcPr>
          <w:p w14:paraId="68FA6481"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1.658</w:t>
            </w:r>
          </w:p>
        </w:tc>
      </w:tr>
      <w:tr w:rsidR="00227727" w:rsidRPr="00227727" w14:paraId="61833A92" w14:textId="77777777" w:rsidTr="00E772F3">
        <w:trPr>
          <w:trHeight w:val="288"/>
        </w:trPr>
        <w:tc>
          <w:tcPr>
            <w:tcW w:w="4760" w:type="dxa"/>
            <w:noWrap/>
            <w:hideMark/>
          </w:tcPr>
          <w:p w14:paraId="2518627D"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SW4</w:t>
            </w:r>
          </w:p>
        </w:tc>
        <w:tc>
          <w:tcPr>
            <w:tcW w:w="1820" w:type="dxa"/>
            <w:noWrap/>
            <w:hideMark/>
          </w:tcPr>
          <w:p w14:paraId="33871D7E"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1.574</w:t>
            </w:r>
          </w:p>
        </w:tc>
      </w:tr>
      <w:tr w:rsidR="00227727" w:rsidRPr="00227727" w14:paraId="7ACD3F7F" w14:textId="77777777" w:rsidTr="00E772F3">
        <w:trPr>
          <w:trHeight w:val="288"/>
        </w:trPr>
        <w:tc>
          <w:tcPr>
            <w:tcW w:w="4760" w:type="dxa"/>
            <w:noWrap/>
            <w:hideMark/>
          </w:tcPr>
          <w:p w14:paraId="026ADE0A"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SW5</w:t>
            </w:r>
          </w:p>
        </w:tc>
        <w:tc>
          <w:tcPr>
            <w:tcW w:w="1820" w:type="dxa"/>
            <w:noWrap/>
            <w:hideMark/>
          </w:tcPr>
          <w:p w14:paraId="58D4E7CB"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1.785</w:t>
            </w:r>
          </w:p>
        </w:tc>
      </w:tr>
      <w:tr w:rsidR="00227727" w:rsidRPr="00227727" w14:paraId="6C89B350" w14:textId="77777777" w:rsidTr="00E772F3">
        <w:trPr>
          <w:trHeight w:val="288"/>
        </w:trPr>
        <w:tc>
          <w:tcPr>
            <w:tcW w:w="4760" w:type="dxa"/>
            <w:noWrap/>
            <w:hideMark/>
          </w:tcPr>
          <w:p w14:paraId="2F09D96F"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SW6</w:t>
            </w:r>
          </w:p>
        </w:tc>
        <w:tc>
          <w:tcPr>
            <w:tcW w:w="1820" w:type="dxa"/>
            <w:noWrap/>
            <w:hideMark/>
          </w:tcPr>
          <w:p w14:paraId="27E73930"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1.869</w:t>
            </w:r>
          </w:p>
        </w:tc>
      </w:tr>
      <w:tr w:rsidR="00227727" w:rsidRPr="00227727" w14:paraId="270B21DB" w14:textId="77777777" w:rsidTr="00E772F3">
        <w:trPr>
          <w:trHeight w:val="288"/>
        </w:trPr>
        <w:tc>
          <w:tcPr>
            <w:tcW w:w="4760" w:type="dxa"/>
            <w:noWrap/>
            <w:hideMark/>
          </w:tcPr>
          <w:p w14:paraId="79B0EBD6" w14:textId="77777777" w:rsidR="00227727" w:rsidRPr="00227727" w:rsidRDefault="00227727" w:rsidP="00E772F3">
            <w:pPr>
              <w:spacing w:line="360" w:lineRule="auto"/>
              <w:rPr>
                <w:rFonts w:ascii="Arial" w:eastAsia="Times New Roman" w:hAnsi="Arial" w:cs="Arial"/>
                <w:color w:val="auto"/>
                <w:sz w:val="22"/>
              </w:rPr>
            </w:pPr>
            <w:r w:rsidRPr="00227727">
              <w:rPr>
                <w:rFonts w:ascii="Arial" w:eastAsia="Times New Roman" w:hAnsi="Arial" w:cs="Arial"/>
                <w:color w:val="auto"/>
                <w:sz w:val="22"/>
              </w:rPr>
              <w:t>HRM Practices x Smarter Working</w:t>
            </w:r>
          </w:p>
        </w:tc>
        <w:tc>
          <w:tcPr>
            <w:tcW w:w="1820" w:type="dxa"/>
            <w:noWrap/>
            <w:hideMark/>
          </w:tcPr>
          <w:p w14:paraId="1354609D" w14:textId="77777777" w:rsidR="00227727" w:rsidRPr="00227727" w:rsidRDefault="00227727" w:rsidP="00E772F3">
            <w:pPr>
              <w:spacing w:line="360" w:lineRule="auto"/>
              <w:jc w:val="right"/>
              <w:rPr>
                <w:rFonts w:ascii="Arial" w:eastAsia="Times New Roman" w:hAnsi="Arial" w:cs="Arial"/>
                <w:color w:val="auto"/>
                <w:sz w:val="22"/>
              </w:rPr>
            </w:pPr>
            <w:r w:rsidRPr="00227727">
              <w:rPr>
                <w:rFonts w:ascii="Arial" w:eastAsia="Times New Roman" w:hAnsi="Arial" w:cs="Arial"/>
                <w:color w:val="auto"/>
                <w:sz w:val="22"/>
              </w:rPr>
              <w:t>1.000</w:t>
            </w:r>
          </w:p>
        </w:tc>
      </w:tr>
    </w:tbl>
    <w:p w14:paraId="711E9896" w14:textId="77777777" w:rsidR="00227727" w:rsidRPr="00227727" w:rsidRDefault="00227727" w:rsidP="00227727">
      <w:pPr>
        <w:rPr>
          <w:rFonts w:ascii="Arial" w:hAnsi="Arial" w:cs="Arial"/>
        </w:rPr>
      </w:pPr>
    </w:p>
    <w:p w14:paraId="3DD09E04" w14:textId="77777777" w:rsidR="00227727" w:rsidRPr="00227727" w:rsidRDefault="00227727" w:rsidP="00227727">
      <w:pPr>
        <w:rPr>
          <w:rFonts w:ascii="Arial" w:hAnsi="Arial" w:cs="Arial"/>
        </w:rPr>
      </w:pPr>
    </w:p>
    <w:p w14:paraId="074ACC1C" w14:textId="77777777" w:rsidR="00227727" w:rsidRPr="00227727" w:rsidRDefault="00227727" w:rsidP="00227727">
      <w:pPr>
        <w:rPr>
          <w:rFonts w:ascii="Arial" w:hAnsi="Arial" w:cs="Arial"/>
        </w:rPr>
      </w:pPr>
    </w:p>
    <w:p w14:paraId="5B84FAAE" w14:textId="77777777" w:rsidR="00227727" w:rsidRPr="00227727" w:rsidRDefault="00227727" w:rsidP="00227727">
      <w:pPr>
        <w:pStyle w:val="Heading3"/>
        <w:rPr>
          <w:rFonts w:ascii="Arial" w:hAnsi="Arial" w:cs="Arial"/>
        </w:rPr>
      </w:pPr>
      <w:r w:rsidRPr="00227727">
        <w:rPr>
          <w:rFonts w:ascii="Arial" w:hAnsi="Arial" w:cs="Arial"/>
          <w:b/>
        </w:rPr>
        <w:t>Appendix D:</w:t>
      </w:r>
      <w:r w:rsidRPr="00227727">
        <w:rPr>
          <w:rFonts w:ascii="Arial" w:hAnsi="Arial" w:cs="Arial"/>
        </w:rPr>
        <w:t xml:space="preserve"> Correlation Coefficients</w:t>
      </w:r>
    </w:p>
    <w:tbl>
      <w:tblPr>
        <w:tblStyle w:val="ListTable6Colourful"/>
        <w:tblW w:w="5000" w:type="pct"/>
        <w:tblLook w:val="0620" w:firstRow="1" w:lastRow="0" w:firstColumn="0" w:lastColumn="0" w:noHBand="1" w:noVBand="1"/>
      </w:tblPr>
      <w:tblGrid>
        <w:gridCol w:w="2503"/>
        <w:gridCol w:w="1761"/>
        <w:gridCol w:w="1269"/>
        <w:gridCol w:w="1444"/>
        <w:gridCol w:w="1377"/>
        <w:gridCol w:w="985"/>
        <w:gridCol w:w="1427"/>
      </w:tblGrid>
      <w:tr w:rsidR="00227727" w:rsidRPr="00227727" w14:paraId="090B62A1" w14:textId="77777777" w:rsidTr="00E772F3">
        <w:trPr>
          <w:cnfStyle w:val="100000000000" w:firstRow="1" w:lastRow="0" w:firstColumn="0" w:lastColumn="0" w:oddVBand="0" w:evenVBand="0" w:oddHBand="0" w:evenHBand="0" w:firstRowFirstColumn="0" w:firstRowLastColumn="0" w:lastRowFirstColumn="0" w:lastRowLastColumn="0"/>
          <w:trHeight w:val="288"/>
        </w:trPr>
        <w:tc>
          <w:tcPr>
            <w:tcW w:w="1682" w:type="pct"/>
            <w:noWrap/>
            <w:hideMark/>
          </w:tcPr>
          <w:p w14:paraId="1791BB02" w14:textId="77777777" w:rsidR="00227727" w:rsidRPr="00227727" w:rsidRDefault="00227727" w:rsidP="00E772F3">
            <w:pPr>
              <w:rPr>
                <w:rFonts w:ascii="Arial" w:eastAsia="Times New Roman" w:hAnsi="Arial" w:cs="Arial"/>
                <w:color w:val="auto"/>
                <w:sz w:val="20"/>
                <w:szCs w:val="20"/>
              </w:rPr>
            </w:pPr>
            <w:r w:rsidRPr="00227727">
              <w:rPr>
                <w:rFonts w:ascii="Arial" w:eastAsia="Times New Roman" w:hAnsi="Arial" w:cs="Arial"/>
                <w:color w:val="auto"/>
                <w:sz w:val="20"/>
                <w:szCs w:val="20"/>
              </w:rPr>
              <w:t>Constructs</w:t>
            </w:r>
          </w:p>
        </w:tc>
        <w:tc>
          <w:tcPr>
            <w:tcW w:w="643" w:type="pct"/>
            <w:noWrap/>
            <w:hideMark/>
          </w:tcPr>
          <w:p w14:paraId="4CBFEE6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Employees Wellbeing</w:t>
            </w:r>
          </w:p>
        </w:tc>
        <w:tc>
          <w:tcPr>
            <w:tcW w:w="481" w:type="pct"/>
            <w:noWrap/>
            <w:hideMark/>
          </w:tcPr>
          <w:p w14:paraId="7A28D0F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HRM Practices</w:t>
            </w:r>
          </w:p>
        </w:tc>
        <w:tc>
          <w:tcPr>
            <w:tcW w:w="509" w:type="pct"/>
            <w:noWrap/>
            <w:hideMark/>
          </w:tcPr>
          <w:p w14:paraId="0AE633E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Job Performance</w:t>
            </w:r>
          </w:p>
        </w:tc>
        <w:tc>
          <w:tcPr>
            <w:tcW w:w="477" w:type="pct"/>
            <w:noWrap/>
            <w:hideMark/>
          </w:tcPr>
          <w:p w14:paraId="3C62156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Job Satisfaction</w:t>
            </w:r>
          </w:p>
        </w:tc>
        <w:tc>
          <w:tcPr>
            <w:tcW w:w="537" w:type="pct"/>
            <w:noWrap/>
            <w:hideMark/>
          </w:tcPr>
          <w:p w14:paraId="19DB431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Job Stress</w:t>
            </w:r>
          </w:p>
        </w:tc>
        <w:tc>
          <w:tcPr>
            <w:tcW w:w="671" w:type="pct"/>
            <w:noWrap/>
            <w:hideMark/>
          </w:tcPr>
          <w:p w14:paraId="0BA9B82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Smarter Working</w:t>
            </w:r>
          </w:p>
        </w:tc>
      </w:tr>
      <w:tr w:rsidR="00227727" w:rsidRPr="00227727" w14:paraId="5BE65934" w14:textId="77777777" w:rsidTr="00E772F3">
        <w:trPr>
          <w:trHeight w:val="288"/>
        </w:trPr>
        <w:tc>
          <w:tcPr>
            <w:tcW w:w="1682" w:type="pct"/>
            <w:noWrap/>
            <w:hideMark/>
          </w:tcPr>
          <w:p w14:paraId="14D36A85" w14:textId="77777777" w:rsidR="00227727" w:rsidRPr="00227727" w:rsidRDefault="00227727" w:rsidP="00E772F3">
            <w:pPr>
              <w:rPr>
                <w:rFonts w:ascii="Arial" w:eastAsia="Times New Roman" w:hAnsi="Arial" w:cs="Arial"/>
                <w:color w:val="auto"/>
                <w:sz w:val="20"/>
                <w:szCs w:val="20"/>
              </w:rPr>
            </w:pPr>
            <w:r w:rsidRPr="00227727">
              <w:rPr>
                <w:rFonts w:ascii="Arial" w:eastAsia="Times New Roman" w:hAnsi="Arial" w:cs="Arial"/>
                <w:color w:val="auto"/>
                <w:sz w:val="20"/>
                <w:szCs w:val="20"/>
              </w:rPr>
              <w:t>Employees Wellbeing</w:t>
            </w:r>
          </w:p>
        </w:tc>
        <w:tc>
          <w:tcPr>
            <w:tcW w:w="643" w:type="pct"/>
            <w:noWrap/>
            <w:hideMark/>
          </w:tcPr>
          <w:p w14:paraId="0DAA345B"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481" w:type="pct"/>
            <w:noWrap/>
            <w:hideMark/>
          </w:tcPr>
          <w:p w14:paraId="55A737D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0.766</w:t>
            </w:r>
          </w:p>
        </w:tc>
        <w:tc>
          <w:tcPr>
            <w:tcW w:w="509" w:type="pct"/>
            <w:noWrap/>
            <w:hideMark/>
          </w:tcPr>
          <w:p w14:paraId="0B15F01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0.796</w:t>
            </w:r>
          </w:p>
        </w:tc>
        <w:tc>
          <w:tcPr>
            <w:tcW w:w="477" w:type="pct"/>
            <w:noWrap/>
            <w:hideMark/>
          </w:tcPr>
          <w:p w14:paraId="63A8C36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0.913</w:t>
            </w:r>
          </w:p>
        </w:tc>
        <w:tc>
          <w:tcPr>
            <w:tcW w:w="537" w:type="pct"/>
            <w:noWrap/>
            <w:hideMark/>
          </w:tcPr>
          <w:p w14:paraId="5C5C20F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0.888</w:t>
            </w:r>
          </w:p>
        </w:tc>
        <w:tc>
          <w:tcPr>
            <w:tcW w:w="671" w:type="pct"/>
            <w:noWrap/>
            <w:hideMark/>
          </w:tcPr>
          <w:p w14:paraId="5569EE4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0.827</w:t>
            </w:r>
          </w:p>
        </w:tc>
      </w:tr>
      <w:tr w:rsidR="00227727" w:rsidRPr="00227727" w14:paraId="45469FFB" w14:textId="77777777" w:rsidTr="00E772F3">
        <w:trPr>
          <w:trHeight w:val="288"/>
        </w:trPr>
        <w:tc>
          <w:tcPr>
            <w:tcW w:w="1682" w:type="pct"/>
            <w:noWrap/>
            <w:hideMark/>
          </w:tcPr>
          <w:p w14:paraId="2EF90A11" w14:textId="77777777" w:rsidR="00227727" w:rsidRPr="00227727" w:rsidRDefault="00227727" w:rsidP="00E772F3">
            <w:pPr>
              <w:rPr>
                <w:rFonts w:ascii="Arial" w:eastAsia="Times New Roman" w:hAnsi="Arial" w:cs="Arial"/>
                <w:color w:val="auto"/>
                <w:sz w:val="20"/>
                <w:szCs w:val="20"/>
              </w:rPr>
            </w:pPr>
            <w:r w:rsidRPr="00227727">
              <w:rPr>
                <w:rFonts w:ascii="Arial" w:eastAsia="Times New Roman" w:hAnsi="Arial" w:cs="Arial"/>
                <w:color w:val="auto"/>
                <w:sz w:val="20"/>
                <w:szCs w:val="20"/>
              </w:rPr>
              <w:t>HRM Practices</w:t>
            </w:r>
          </w:p>
        </w:tc>
        <w:tc>
          <w:tcPr>
            <w:tcW w:w="643" w:type="pct"/>
            <w:noWrap/>
            <w:hideMark/>
          </w:tcPr>
          <w:p w14:paraId="2303F06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0.766</w:t>
            </w:r>
          </w:p>
        </w:tc>
        <w:tc>
          <w:tcPr>
            <w:tcW w:w="481" w:type="pct"/>
            <w:noWrap/>
            <w:hideMark/>
          </w:tcPr>
          <w:p w14:paraId="692ADBD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509" w:type="pct"/>
            <w:noWrap/>
            <w:hideMark/>
          </w:tcPr>
          <w:p w14:paraId="2C41807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0.720</w:t>
            </w:r>
          </w:p>
        </w:tc>
        <w:tc>
          <w:tcPr>
            <w:tcW w:w="477" w:type="pct"/>
            <w:noWrap/>
            <w:hideMark/>
          </w:tcPr>
          <w:p w14:paraId="67E9D3C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0.730</w:t>
            </w:r>
          </w:p>
        </w:tc>
        <w:tc>
          <w:tcPr>
            <w:tcW w:w="537" w:type="pct"/>
            <w:noWrap/>
            <w:hideMark/>
          </w:tcPr>
          <w:p w14:paraId="106F74B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0.748</w:t>
            </w:r>
          </w:p>
        </w:tc>
        <w:tc>
          <w:tcPr>
            <w:tcW w:w="671" w:type="pct"/>
            <w:noWrap/>
            <w:hideMark/>
          </w:tcPr>
          <w:p w14:paraId="1EDDFD2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0.744</w:t>
            </w:r>
          </w:p>
        </w:tc>
      </w:tr>
      <w:tr w:rsidR="00227727" w:rsidRPr="00227727" w14:paraId="417DE7E9" w14:textId="77777777" w:rsidTr="00E772F3">
        <w:trPr>
          <w:trHeight w:val="288"/>
        </w:trPr>
        <w:tc>
          <w:tcPr>
            <w:tcW w:w="1682" w:type="pct"/>
            <w:noWrap/>
            <w:hideMark/>
          </w:tcPr>
          <w:p w14:paraId="41744AF5" w14:textId="77777777" w:rsidR="00227727" w:rsidRPr="00227727" w:rsidRDefault="00227727" w:rsidP="00E772F3">
            <w:pPr>
              <w:rPr>
                <w:rFonts w:ascii="Arial" w:eastAsia="Times New Roman" w:hAnsi="Arial" w:cs="Arial"/>
                <w:color w:val="auto"/>
                <w:sz w:val="20"/>
                <w:szCs w:val="20"/>
              </w:rPr>
            </w:pPr>
            <w:r w:rsidRPr="00227727">
              <w:rPr>
                <w:rFonts w:ascii="Arial" w:eastAsia="Times New Roman" w:hAnsi="Arial" w:cs="Arial"/>
                <w:color w:val="auto"/>
                <w:sz w:val="20"/>
                <w:szCs w:val="20"/>
              </w:rPr>
              <w:t>Job Performance</w:t>
            </w:r>
          </w:p>
        </w:tc>
        <w:tc>
          <w:tcPr>
            <w:tcW w:w="643" w:type="pct"/>
            <w:noWrap/>
            <w:hideMark/>
          </w:tcPr>
          <w:p w14:paraId="256C6CA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0.796</w:t>
            </w:r>
          </w:p>
        </w:tc>
        <w:tc>
          <w:tcPr>
            <w:tcW w:w="481" w:type="pct"/>
            <w:noWrap/>
            <w:hideMark/>
          </w:tcPr>
          <w:p w14:paraId="4B9004E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0.720</w:t>
            </w:r>
          </w:p>
        </w:tc>
        <w:tc>
          <w:tcPr>
            <w:tcW w:w="509" w:type="pct"/>
            <w:noWrap/>
            <w:hideMark/>
          </w:tcPr>
          <w:p w14:paraId="6F17DB8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477" w:type="pct"/>
            <w:noWrap/>
            <w:hideMark/>
          </w:tcPr>
          <w:p w14:paraId="014E38F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0.758</w:t>
            </w:r>
          </w:p>
        </w:tc>
        <w:tc>
          <w:tcPr>
            <w:tcW w:w="537" w:type="pct"/>
            <w:noWrap/>
            <w:hideMark/>
          </w:tcPr>
          <w:p w14:paraId="30ED257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0.762</w:t>
            </w:r>
          </w:p>
        </w:tc>
        <w:tc>
          <w:tcPr>
            <w:tcW w:w="671" w:type="pct"/>
            <w:noWrap/>
            <w:hideMark/>
          </w:tcPr>
          <w:p w14:paraId="14C4159D"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0.771</w:t>
            </w:r>
          </w:p>
        </w:tc>
      </w:tr>
      <w:tr w:rsidR="00227727" w:rsidRPr="00227727" w14:paraId="7A8F294C" w14:textId="77777777" w:rsidTr="00E772F3">
        <w:trPr>
          <w:trHeight w:val="288"/>
        </w:trPr>
        <w:tc>
          <w:tcPr>
            <w:tcW w:w="1682" w:type="pct"/>
            <w:noWrap/>
            <w:hideMark/>
          </w:tcPr>
          <w:p w14:paraId="1636BCDC" w14:textId="77777777" w:rsidR="00227727" w:rsidRPr="00227727" w:rsidRDefault="00227727" w:rsidP="00E772F3">
            <w:pPr>
              <w:rPr>
                <w:rFonts w:ascii="Arial" w:eastAsia="Times New Roman" w:hAnsi="Arial" w:cs="Arial"/>
                <w:color w:val="auto"/>
                <w:sz w:val="20"/>
                <w:szCs w:val="20"/>
              </w:rPr>
            </w:pPr>
            <w:r w:rsidRPr="00227727">
              <w:rPr>
                <w:rFonts w:ascii="Arial" w:eastAsia="Times New Roman" w:hAnsi="Arial" w:cs="Arial"/>
                <w:color w:val="auto"/>
                <w:sz w:val="20"/>
                <w:szCs w:val="20"/>
              </w:rPr>
              <w:t>Job Satisfaction</w:t>
            </w:r>
          </w:p>
        </w:tc>
        <w:tc>
          <w:tcPr>
            <w:tcW w:w="643" w:type="pct"/>
            <w:noWrap/>
            <w:hideMark/>
          </w:tcPr>
          <w:p w14:paraId="4CF812A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0.913</w:t>
            </w:r>
          </w:p>
        </w:tc>
        <w:tc>
          <w:tcPr>
            <w:tcW w:w="481" w:type="pct"/>
            <w:noWrap/>
            <w:hideMark/>
          </w:tcPr>
          <w:p w14:paraId="63F126A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0.730</w:t>
            </w:r>
          </w:p>
        </w:tc>
        <w:tc>
          <w:tcPr>
            <w:tcW w:w="509" w:type="pct"/>
            <w:noWrap/>
            <w:hideMark/>
          </w:tcPr>
          <w:p w14:paraId="3564AA2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0.758</w:t>
            </w:r>
          </w:p>
        </w:tc>
        <w:tc>
          <w:tcPr>
            <w:tcW w:w="477" w:type="pct"/>
            <w:noWrap/>
            <w:hideMark/>
          </w:tcPr>
          <w:p w14:paraId="71E0CA6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537" w:type="pct"/>
            <w:noWrap/>
            <w:hideMark/>
          </w:tcPr>
          <w:p w14:paraId="57C18D4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0.872</w:t>
            </w:r>
          </w:p>
        </w:tc>
        <w:tc>
          <w:tcPr>
            <w:tcW w:w="671" w:type="pct"/>
            <w:noWrap/>
            <w:hideMark/>
          </w:tcPr>
          <w:p w14:paraId="37560874"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0.821</w:t>
            </w:r>
          </w:p>
        </w:tc>
      </w:tr>
      <w:tr w:rsidR="00227727" w:rsidRPr="00227727" w14:paraId="6C87A914" w14:textId="77777777" w:rsidTr="00E772F3">
        <w:trPr>
          <w:trHeight w:val="288"/>
        </w:trPr>
        <w:tc>
          <w:tcPr>
            <w:tcW w:w="1682" w:type="pct"/>
            <w:noWrap/>
            <w:hideMark/>
          </w:tcPr>
          <w:p w14:paraId="61303CAC" w14:textId="77777777" w:rsidR="00227727" w:rsidRPr="00227727" w:rsidRDefault="00227727" w:rsidP="00E772F3">
            <w:pPr>
              <w:rPr>
                <w:rFonts w:ascii="Arial" w:eastAsia="Times New Roman" w:hAnsi="Arial" w:cs="Arial"/>
                <w:color w:val="auto"/>
                <w:sz w:val="20"/>
                <w:szCs w:val="20"/>
              </w:rPr>
            </w:pPr>
            <w:r w:rsidRPr="00227727">
              <w:rPr>
                <w:rFonts w:ascii="Arial" w:eastAsia="Times New Roman" w:hAnsi="Arial" w:cs="Arial"/>
                <w:color w:val="auto"/>
                <w:sz w:val="20"/>
                <w:szCs w:val="20"/>
              </w:rPr>
              <w:t>Job Stress</w:t>
            </w:r>
          </w:p>
        </w:tc>
        <w:tc>
          <w:tcPr>
            <w:tcW w:w="643" w:type="pct"/>
            <w:noWrap/>
            <w:hideMark/>
          </w:tcPr>
          <w:p w14:paraId="12947A4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0.888</w:t>
            </w:r>
          </w:p>
        </w:tc>
        <w:tc>
          <w:tcPr>
            <w:tcW w:w="481" w:type="pct"/>
            <w:noWrap/>
            <w:hideMark/>
          </w:tcPr>
          <w:p w14:paraId="652325C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0.748</w:t>
            </w:r>
          </w:p>
        </w:tc>
        <w:tc>
          <w:tcPr>
            <w:tcW w:w="509" w:type="pct"/>
            <w:noWrap/>
            <w:hideMark/>
          </w:tcPr>
          <w:p w14:paraId="106CD0B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0.762</w:t>
            </w:r>
          </w:p>
        </w:tc>
        <w:tc>
          <w:tcPr>
            <w:tcW w:w="477" w:type="pct"/>
            <w:noWrap/>
            <w:hideMark/>
          </w:tcPr>
          <w:p w14:paraId="398F76F0"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0.872</w:t>
            </w:r>
          </w:p>
        </w:tc>
        <w:tc>
          <w:tcPr>
            <w:tcW w:w="537" w:type="pct"/>
            <w:noWrap/>
            <w:hideMark/>
          </w:tcPr>
          <w:p w14:paraId="4FD29E1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c>
          <w:tcPr>
            <w:tcW w:w="671" w:type="pct"/>
            <w:noWrap/>
            <w:hideMark/>
          </w:tcPr>
          <w:p w14:paraId="5E07CE7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0.811</w:t>
            </w:r>
          </w:p>
        </w:tc>
      </w:tr>
      <w:tr w:rsidR="00227727" w:rsidRPr="00227727" w14:paraId="68042651" w14:textId="77777777" w:rsidTr="00E772F3">
        <w:trPr>
          <w:trHeight w:val="288"/>
        </w:trPr>
        <w:tc>
          <w:tcPr>
            <w:tcW w:w="1682" w:type="pct"/>
            <w:noWrap/>
            <w:hideMark/>
          </w:tcPr>
          <w:p w14:paraId="2B6E50EA" w14:textId="77777777" w:rsidR="00227727" w:rsidRPr="00227727" w:rsidRDefault="00227727" w:rsidP="00E772F3">
            <w:pPr>
              <w:rPr>
                <w:rFonts w:ascii="Arial" w:eastAsia="Times New Roman" w:hAnsi="Arial" w:cs="Arial"/>
                <w:color w:val="auto"/>
                <w:sz w:val="20"/>
                <w:szCs w:val="20"/>
              </w:rPr>
            </w:pPr>
            <w:r w:rsidRPr="00227727">
              <w:rPr>
                <w:rFonts w:ascii="Arial" w:eastAsia="Times New Roman" w:hAnsi="Arial" w:cs="Arial"/>
                <w:color w:val="auto"/>
                <w:sz w:val="20"/>
                <w:szCs w:val="20"/>
              </w:rPr>
              <w:t>Smarter Working</w:t>
            </w:r>
          </w:p>
        </w:tc>
        <w:tc>
          <w:tcPr>
            <w:tcW w:w="643" w:type="pct"/>
            <w:noWrap/>
            <w:hideMark/>
          </w:tcPr>
          <w:p w14:paraId="4222E30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0.827</w:t>
            </w:r>
          </w:p>
        </w:tc>
        <w:tc>
          <w:tcPr>
            <w:tcW w:w="481" w:type="pct"/>
            <w:noWrap/>
            <w:hideMark/>
          </w:tcPr>
          <w:p w14:paraId="4F6C11A1"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0.744</w:t>
            </w:r>
          </w:p>
        </w:tc>
        <w:tc>
          <w:tcPr>
            <w:tcW w:w="509" w:type="pct"/>
            <w:noWrap/>
            <w:hideMark/>
          </w:tcPr>
          <w:p w14:paraId="7FED2D0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0.771</w:t>
            </w:r>
          </w:p>
        </w:tc>
        <w:tc>
          <w:tcPr>
            <w:tcW w:w="477" w:type="pct"/>
            <w:noWrap/>
            <w:hideMark/>
          </w:tcPr>
          <w:p w14:paraId="48E5095C"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0.821</w:t>
            </w:r>
          </w:p>
        </w:tc>
        <w:tc>
          <w:tcPr>
            <w:tcW w:w="537" w:type="pct"/>
            <w:noWrap/>
            <w:hideMark/>
          </w:tcPr>
          <w:p w14:paraId="15A4E185"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0.811</w:t>
            </w:r>
          </w:p>
        </w:tc>
        <w:tc>
          <w:tcPr>
            <w:tcW w:w="671" w:type="pct"/>
            <w:noWrap/>
            <w:hideMark/>
          </w:tcPr>
          <w:p w14:paraId="716C6FA6"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1.000</w:t>
            </w:r>
          </w:p>
        </w:tc>
      </w:tr>
      <w:tr w:rsidR="00227727" w:rsidRPr="00227727" w14:paraId="086ACFF9" w14:textId="77777777" w:rsidTr="00E772F3">
        <w:trPr>
          <w:trHeight w:val="288"/>
        </w:trPr>
        <w:tc>
          <w:tcPr>
            <w:tcW w:w="1682" w:type="pct"/>
            <w:noWrap/>
            <w:hideMark/>
          </w:tcPr>
          <w:p w14:paraId="023EEABD" w14:textId="77777777" w:rsidR="00227727" w:rsidRPr="00227727" w:rsidRDefault="00227727" w:rsidP="00E772F3">
            <w:pPr>
              <w:rPr>
                <w:rFonts w:ascii="Arial" w:eastAsia="Times New Roman" w:hAnsi="Arial" w:cs="Arial"/>
                <w:color w:val="auto"/>
                <w:sz w:val="20"/>
                <w:szCs w:val="20"/>
              </w:rPr>
            </w:pPr>
            <w:r w:rsidRPr="00227727">
              <w:rPr>
                <w:rFonts w:ascii="Arial" w:eastAsia="Times New Roman" w:hAnsi="Arial" w:cs="Arial"/>
                <w:color w:val="auto"/>
                <w:sz w:val="20"/>
                <w:szCs w:val="20"/>
              </w:rPr>
              <w:t>HRM Practices x Smarter Working</w:t>
            </w:r>
          </w:p>
        </w:tc>
        <w:tc>
          <w:tcPr>
            <w:tcW w:w="643" w:type="pct"/>
            <w:noWrap/>
            <w:hideMark/>
          </w:tcPr>
          <w:p w14:paraId="42C00B0F"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-0.663</w:t>
            </w:r>
          </w:p>
        </w:tc>
        <w:tc>
          <w:tcPr>
            <w:tcW w:w="481" w:type="pct"/>
            <w:noWrap/>
            <w:hideMark/>
          </w:tcPr>
          <w:p w14:paraId="5C751358"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-0.768</w:t>
            </w:r>
          </w:p>
        </w:tc>
        <w:tc>
          <w:tcPr>
            <w:tcW w:w="509" w:type="pct"/>
            <w:noWrap/>
            <w:hideMark/>
          </w:tcPr>
          <w:p w14:paraId="12740019"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-0.661</w:t>
            </w:r>
          </w:p>
        </w:tc>
        <w:tc>
          <w:tcPr>
            <w:tcW w:w="477" w:type="pct"/>
            <w:noWrap/>
            <w:hideMark/>
          </w:tcPr>
          <w:p w14:paraId="07346C7E"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-0.652</w:t>
            </w:r>
          </w:p>
        </w:tc>
        <w:tc>
          <w:tcPr>
            <w:tcW w:w="537" w:type="pct"/>
            <w:noWrap/>
            <w:hideMark/>
          </w:tcPr>
          <w:p w14:paraId="0132D41A"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-0.628</w:t>
            </w:r>
          </w:p>
        </w:tc>
        <w:tc>
          <w:tcPr>
            <w:tcW w:w="671" w:type="pct"/>
            <w:noWrap/>
            <w:hideMark/>
          </w:tcPr>
          <w:p w14:paraId="15FF9103" w14:textId="77777777" w:rsidR="00227727" w:rsidRPr="00227727" w:rsidRDefault="00227727" w:rsidP="00E772F3">
            <w:pPr>
              <w:spacing w:line="360" w:lineRule="auto"/>
              <w:jc w:val="center"/>
              <w:rPr>
                <w:rFonts w:ascii="Arial" w:eastAsia="Times New Roman" w:hAnsi="Arial" w:cs="Arial"/>
                <w:color w:val="auto"/>
                <w:sz w:val="20"/>
                <w:szCs w:val="20"/>
              </w:rPr>
            </w:pPr>
            <w:r w:rsidRPr="00227727">
              <w:rPr>
                <w:rFonts w:ascii="Arial" w:eastAsia="Times New Roman" w:hAnsi="Arial" w:cs="Arial"/>
                <w:color w:val="auto"/>
                <w:sz w:val="20"/>
                <w:szCs w:val="20"/>
              </w:rPr>
              <w:t>-0.736</w:t>
            </w:r>
          </w:p>
        </w:tc>
      </w:tr>
    </w:tbl>
    <w:p w14:paraId="04B94510" w14:textId="77777777" w:rsidR="00227727" w:rsidRPr="00227727" w:rsidRDefault="00227727" w:rsidP="00227727">
      <w:pPr>
        <w:rPr>
          <w:rFonts w:ascii="Arial" w:hAnsi="Arial" w:cs="Arial"/>
        </w:rPr>
      </w:pPr>
    </w:p>
    <w:p w14:paraId="1EAA8DFF" w14:textId="77777777" w:rsidR="00BC7247" w:rsidRPr="00227727" w:rsidRDefault="00BC7247" w:rsidP="00BC7247">
      <w:pPr>
        <w:rPr>
          <w:rFonts w:ascii="Arial" w:hAnsi="Arial" w:cs="Arial"/>
          <w:sz w:val="24"/>
          <w:szCs w:val="24"/>
        </w:rPr>
      </w:pPr>
    </w:p>
    <w:sectPr w:rsidR="00BC7247" w:rsidRPr="00227727" w:rsidSect="00BC7247">
      <w:pgSz w:w="11900" w:h="16840"/>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B726" w14:textId="77777777" w:rsidR="00095CDC" w:rsidRDefault="00095CDC" w:rsidP="0016056E">
      <w:pPr>
        <w:spacing w:after="0" w:line="240" w:lineRule="auto"/>
      </w:pPr>
      <w:r>
        <w:separator/>
      </w:r>
    </w:p>
  </w:endnote>
  <w:endnote w:type="continuationSeparator" w:id="0">
    <w:p w14:paraId="4503A1A6" w14:textId="77777777" w:rsidR="00095CDC" w:rsidRDefault="00095CDC" w:rsidP="00160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37AD6" w14:textId="77777777" w:rsidR="00095CDC" w:rsidRDefault="00095CDC" w:rsidP="0016056E">
      <w:pPr>
        <w:spacing w:after="0" w:line="240" w:lineRule="auto"/>
      </w:pPr>
      <w:r>
        <w:separator/>
      </w:r>
    </w:p>
  </w:footnote>
  <w:footnote w:type="continuationSeparator" w:id="0">
    <w:p w14:paraId="0273BAA1" w14:textId="77777777" w:rsidR="00095CDC" w:rsidRDefault="00095CDC" w:rsidP="00160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1F66"/>
    <w:multiLevelType w:val="hybridMultilevel"/>
    <w:tmpl w:val="93B03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12EF5"/>
    <w:multiLevelType w:val="hybridMultilevel"/>
    <w:tmpl w:val="3D7C0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55618"/>
    <w:multiLevelType w:val="hybridMultilevel"/>
    <w:tmpl w:val="1B68B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5D1536"/>
    <w:multiLevelType w:val="hybridMultilevel"/>
    <w:tmpl w:val="E9C23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D0291"/>
    <w:multiLevelType w:val="hybridMultilevel"/>
    <w:tmpl w:val="408C9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D718B5"/>
    <w:multiLevelType w:val="hybridMultilevel"/>
    <w:tmpl w:val="315E2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9E69AD"/>
    <w:multiLevelType w:val="hybridMultilevel"/>
    <w:tmpl w:val="9DC40132"/>
    <w:lvl w:ilvl="0" w:tplc="89447C70">
      <w:start w:val="1"/>
      <w:numFmt w:val="decimal"/>
      <w:lvlText w:val="%1."/>
      <w:lvlJc w:val="left"/>
      <w:pPr>
        <w:ind w:left="108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B308CA"/>
    <w:multiLevelType w:val="hybridMultilevel"/>
    <w:tmpl w:val="BBD8F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3C19DC"/>
    <w:multiLevelType w:val="hybridMultilevel"/>
    <w:tmpl w:val="5C9A0E40"/>
    <w:lvl w:ilvl="0" w:tplc="89447C7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5580422">
    <w:abstractNumId w:val="7"/>
  </w:num>
  <w:num w:numId="2" w16cid:durableId="1538930954">
    <w:abstractNumId w:val="0"/>
  </w:num>
  <w:num w:numId="3" w16cid:durableId="1060054409">
    <w:abstractNumId w:val="2"/>
  </w:num>
  <w:num w:numId="4" w16cid:durableId="863443023">
    <w:abstractNumId w:val="3"/>
  </w:num>
  <w:num w:numId="5" w16cid:durableId="1901404163">
    <w:abstractNumId w:val="4"/>
  </w:num>
  <w:num w:numId="6" w16cid:durableId="983001162">
    <w:abstractNumId w:val="5"/>
  </w:num>
  <w:num w:numId="7" w16cid:durableId="919757703">
    <w:abstractNumId w:val="1"/>
  </w:num>
  <w:num w:numId="8" w16cid:durableId="1990282108">
    <w:abstractNumId w:val="8"/>
  </w:num>
  <w:num w:numId="9" w16cid:durableId="15542748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47"/>
    <w:rsid w:val="000028DF"/>
    <w:rsid w:val="000034F6"/>
    <w:rsid w:val="00003837"/>
    <w:rsid w:val="0000454A"/>
    <w:rsid w:val="00005224"/>
    <w:rsid w:val="000064BD"/>
    <w:rsid w:val="000064F2"/>
    <w:rsid w:val="0001163F"/>
    <w:rsid w:val="0001483B"/>
    <w:rsid w:val="00014EA6"/>
    <w:rsid w:val="00016679"/>
    <w:rsid w:val="0001675C"/>
    <w:rsid w:val="0001785C"/>
    <w:rsid w:val="00017C37"/>
    <w:rsid w:val="00023327"/>
    <w:rsid w:val="00023F26"/>
    <w:rsid w:val="0002645B"/>
    <w:rsid w:val="0002671A"/>
    <w:rsid w:val="0002762B"/>
    <w:rsid w:val="000300BC"/>
    <w:rsid w:val="00032ECA"/>
    <w:rsid w:val="00032F9D"/>
    <w:rsid w:val="00032FAC"/>
    <w:rsid w:val="00033433"/>
    <w:rsid w:val="00037A3D"/>
    <w:rsid w:val="00040B4B"/>
    <w:rsid w:val="00043A69"/>
    <w:rsid w:val="00045365"/>
    <w:rsid w:val="000478A5"/>
    <w:rsid w:val="00053A51"/>
    <w:rsid w:val="00053E17"/>
    <w:rsid w:val="00057305"/>
    <w:rsid w:val="00060E16"/>
    <w:rsid w:val="00060E58"/>
    <w:rsid w:val="00061FB7"/>
    <w:rsid w:val="0006666A"/>
    <w:rsid w:val="00071D3A"/>
    <w:rsid w:val="00073141"/>
    <w:rsid w:val="0007602C"/>
    <w:rsid w:val="00076573"/>
    <w:rsid w:val="000770C2"/>
    <w:rsid w:val="00077883"/>
    <w:rsid w:val="000820B1"/>
    <w:rsid w:val="000843B1"/>
    <w:rsid w:val="00090830"/>
    <w:rsid w:val="00092669"/>
    <w:rsid w:val="00095C46"/>
    <w:rsid w:val="00095CDC"/>
    <w:rsid w:val="000975BF"/>
    <w:rsid w:val="000A1A2C"/>
    <w:rsid w:val="000A20BD"/>
    <w:rsid w:val="000A3F98"/>
    <w:rsid w:val="000A4BAC"/>
    <w:rsid w:val="000A72F9"/>
    <w:rsid w:val="000B3E01"/>
    <w:rsid w:val="000B3FD7"/>
    <w:rsid w:val="000B560E"/>
    <w:rsid w:val="000B6847"/>
    <w:rsid w:val="000C221A"/>
    <w:rsid w:val="000C2473"/>
    <w:rsid w:val="000C25AC"/>
    <w:rsid w:val="000C47E6"/>
    <w:rsid w:val="000C5401"/>
    <w:rsid w:val="000C69FF"/>
    <w:rsid w:val="000D0346"/>
    <w:rsid w:val="000D1E4B"/>
    <w:rsid w:val="000D23DA"/>
    <w:rsid w:val="000D2B44"/>
    <w:rsid w:val="000D47F5"/>
    <w:rsid w:val="000D6A9D"/>
    <w:rsid w:val="000D6B0D"/>
    <w:rsid w:val="000E0717"/>
    <w:rsid w:val="000E589B"/>
    <w:rsid w:val="000E70C7"/>
    <w:rsid w:val="000E7567"/>
    <w:rsid w:val="000F4AB5"/>
    <w:rsid w:val="000F539C"/>
    <w:rsid w:val="000F5502"/>
    <w:rsid w:val="000F6145"/>
    <w:rsid w:val="000F6E60"/>
    <w:rsid w:val="00100C33"/>
    <w:rsid w:val="0010344F"/>
    <w:rsid w:val="001056FA"/>
    <w:rsid w:val="00106439"/>
    <w:rsid w:val="0010772D"/>
    <w:rsid w:val="00107BED"/>
    <w:rsid w:val="00111254"/>
    <w:rsid w:val="00111A56"/>
    <w:rsid w:val="00113B90"/>
    <w:rsid w:val="0011558C"/>
    <w:rsid w:val="00123111"/>
    <w:rsid w:val="00123779"/>
    <w:rsid w:val="0012465D"/>
    <w:rsid w:val="00125C57"/>
    <w:rsid w:val="00126704"/>
    <w:rsid w:val="001268BF"/>
    <w:rsid w:val="001271CE"/>
    <w:rsid w:val="00130FDF"/>
    <w:rsid w:val="0013295D"/>
    <w:rsid w:val="00132E82"/>
    <w:rsid w:val="00133A83"/>
    <w:rsid w:val="00133D8C"/>
    <w:rsid w:val="00134036"/>
    <w:rsid w:val="001354DD"/>
    <w:rsid w:val="00136504"/>
    <w:rsid w:val="00136E29"/>
    <w:rsid w:val="001407BC"/>
    <w:rsid w:val="00141DE0"/>
    <w:rsid w:val="0014767B"/>
    <w:rsid w:val="00147FBC"/>
    <w:rsid w:val="00152719"/>
    <w:rsid w:val="00153289"/>
    <w:rsid w:val="001535E7"/>
    <w:rsid w:val="0015423A"/>
    <w:rsid w:val="001558FD"/>
    <w:rsid w:val="00155906"/>
    <w:rsid w:val="0016056E"/>
    <w:rsid w:val="001669D6"/>
    <w:rsid w:val="00171570"/>
    <w:rsid w:val="001717A6"/>
    <w:rsid w:val="00171857"/>
    <w:rsid w:val="00172C2B"/>
    <w:rsid w:val="00173BFB"/>
    <w:rsid w:val="00177FD0"/>
    <w:rsid w:val="00180144"/>
    <w:rsid w:val="00180153"/>
    <w:rsid w:val="0018053A"/>
    <w:rsid w:val="00180CF0"/>
    <w:rsid w:val="00181E80"/>
    <w:rsid w:val="00184835"/>
    <w:rsid w:val="0018705C"/>
    <w:rsid w:val="00187A54"/>
    <w:rsid w:val="00190E15"/>
    <w:rsid w:val="00191745"/>
    <w:rsid w:val="00193E22"/>
    <w:rsid w:val="0019420B"/>
    <w:rsid w:val="00195115"/>
    <w:rsid w:val="00195564"/>
    <w:rsid w:val="00196E5D"/>
    <w:rsid w:val="001A0EBC"/>
    <w:rsid w:val="001A4728"/>
    <w:rsid w:val="001A4BDD"/>
    <w:rsid w:val="001B0935"/>
    <w:rsid w:val="001B0F40"/>
    <w:rsid w:val="001B287F"/>
    <w:rsid w:val="001B39B7"/>
    <w:rsid w:val="001C0E23"/>
    <w:rsid w:val="001C2176"/>
    <w:rsid w:val="001C3806"/>
    <w:rsid w:val="001C382D"/>
    <w:rsid w:val="001C5C78"/>
    <w:rsid w:val="001D1A36"/>
    <w:rsid w:val="001D3D16"/>
    <w:rsid w:val="001D50DC"/>
    <w:rsid w:val="001D6D4D"/>
    <w:rsid w:val="001D7F50"/>
    <w:rsid w:val="001E00B4"/>
    <w:rsid w:val="001E0964"/>
    <w:rsid w:val="001E2162"/>
    <w:rsid w:val="001E4801"/>
    <w:rsid w:val="001E4A69"/>
    <w:rsid w:val="001E6FD8"/>
    <w:rsid w:val="001E7A2A"/>
    <w:rsid w:val="001E7FB6"/>
    <w:rsid w:val="001F1F7F"/>
    <w:rsid w:val="001F5D9B"/>
    <w:rsid w:val="001F7018"/>
    <w:rsid w:val="00202C23"/>
    <w:rsid w:val="002044B0"/>
    <w:rsid w:val="00206AF6"/>
    <w:rsid w:val="00206E29"/>
    <w:rsid w:val="0021189B"/>
    <w:rsid w:val="0021283F"/>
    <w:rsid w:val="0021456F"/>
    <w:rsid w:val="00214EC5"/>
    <w:rsid w:val="00216561"/>
    <w:rsid w:val="00216716"/>
    <w:rsid w:val="002172FF"/>
    <w:rsid w:val="00217471"/>
    <w:rsid w:val="00221348"/>
    <w:rsid w:val="00221A67"/>
    <w:rsid w:val="00222339"/>
    <w:rsid w:val="00224512"/>
    <w:rsid w:val="00225475"/>
    <w:rsid w:val="00227727"/>
    <w:rsid w:val="0023363A"/>
    <w:rsid w:val="0023432D"/>
    <w:rsid w:val="002347CB"/>
    <w:rsid w:val="00234BA8"/>
    <w:rsid w:val="00234C0C"/>
    <w:rsid w:val="0023521B"/>
    <w:rsid w:val="00237641"/>
    <w:rsid w:val="002408AD"/>
    <w:rsid w:val="00246E0A"/>
    <w:rsid w:val="002479BC"/>
    <w:rsid w:val="00250B5B"/>
    <w:rsid w:val="0025341F"/>
    <w:rsid w:val="00255A74"/>
    <w:rsid w:val="002579EE"/>
    <w:rsid w:val="002620D8"/>
    <w:rsid w:val="00266636"/>
    <w:rsid w:val="0026711F"/>
    <w:rsid w:val="002672C7"/>
    <w:rsid w:val="00272CCE"/>
    <w:rsid w:val="00274327"/>
    <w:rsid w:val="00275643"/>
    <w:rsid w:val="0028046D"/>
    <w:rsid w:val="00280538"/>
    <w:rsid w:val="00282BE0"/>
    <w:rsid w:val="0028469E"/>
    <w:rsid w:val="002848F4"/>
    <w:rsid w:val="0028598C"/>
    <w:rsid w:val="00285AA5"/>
    <w:rsid w:val="002907A9"/>
    <w:rsid w:val="00290CE5"/>
    <w:rsid w:val="002918AF"/>
    <w:rsid w:val="002936E0"/>
    <w:rsid w:val="00293C8A"/>
    <w:rsid w:val="0029434A"/>
    <w:rsid w:val="00296E98"/>
    <w:rsid w:val="002975AB"/>
    <w:rsid w:val="002A1B8B"/>
    <w:rsid w:val="002A3056"/>
    <w:rsid w:val="002A3F03"/>
    <w:rsid w:val="002A6690"/>
    <w:rsid w:val="002A6C8A"/>
    <w:rsid w:val="002A7FA9"/>
    <w:rsid w:val="002B0D79"/>
    <w:rsid w:val="002B0FEA"/>
    <w:rsid w:val="002B33C0"/>
    <w:rsid w:val="002B5A7F"/>
    <w:rsid w:val="002B66BF"/>
    <w:rsid w:val="002B7254"/>
    <w:rsid w:val="002B75D6"/>
    <w:rsid w:val="002C093F"/>
    <w:rsid w:val="002C2297"/>
    <w:rsid w:val="002C2334"/>
    <w:rsid w:val="002C394D"/>
    <w:rsid w:val="002C394F"/>
    <w:rsid w:val="002C3C5B"/>
    <w:rsid w:val="002C4252"/>
    <w:rsid w:val="002C461E"/>
    <w:rsid w:val="002C51B2"/>
    <w:rsid w:val="002C51C2"/>
    <w:rsid w:val="002C5C63"/>
    <w:rsid w:val="002D215A"/>
    <w:rsid w:val="002D3F73"/>
    <w:rsid w:val="002D45D3"/>
    <w:rsid w:val="002D4948"/>
    <w:rsid w:val="002D5451"/>
    <w:rsid w:val="002D6143"/>
    <w:rsid w:val="002D7757"/>
    <w:rsid w:val="002E062B"/>
    <w:rsid w:val="002E4825"/>
    <w:rsid w:val="002E4B33"/>
    <w:rsid w:val="002F0303"/>
    <w:rsid w:val="002F07E7"/>
    <w:rsid w:val="002F2C03"/>
    <w:rsid w:val="002F43A2"/>
    <w:rsid w:val="002F46EE"/>
    <w:rsid w:val="002F6567"/>
    <w:rsid w:val="00301AED"/>
    <w:rsid w:val="00301E36"/>
    <w:rsid w:val="003036C8"/>
    <w:rsid w:val="00305A78"/>
    <w:rsid w:val="0030637D"/>
    <w:rsid w:val="0030654E"/>
    <w:rsid w:val="00313EF3"/>
    <w:rsid w:val="00320E90"/>
    <w:rsid w:val="0032117C"/>
    <w:rsid w:val="00323D06"/>
    <w:rsid w:val="00330809"/>
    <w:rsid w:val="00331A80"/>
    <w:rsid w:val="003330A0"/>
    <w:rsid w:val="0033392A"/>
    <w:rsid w:val="0033486C"/>
    <w:rsid w:val="003417C3"/>
    <w:rsid w:val="00343ABA"/>
    <w:rsid w:val="00350423"/>
    <w:rsid w:val="00350D27"/>
    <w:rsid w:val="00351EFC"/>
    <w:rsid w:val="003527C0"/>
    <w:rsid w:val="00361C85"/>
    <w:rsid w:val="00365058"/>
    <w:rsid w:val="003722B8"/>
    <w:rsid w:val="00376BC6"/>
    <w:rsid w:val="00377185"/>
    <w:rsid w:val="00381A0D"/>
    <w:rsid w:val="00381E47"/>
    <w:rsid w:val="003852D1"/>
    <w:rsid w:val="00386CA0"/>
    <w:rsid w:val="003913AF"/>
    <w:rsid w:val="0039216B"/>
    <w:rsid w:val="003954F5"/>
    <w:rsid w:val="00397565"/>
    <w:rsid w:val="003A2831"/>
    <w:rsid w:val="003B38AE"/>
    <w:rsid w:val="003B3A33"/>
    <w:rsid w:val="003B4407"/>
    <w:rsid w:val="003B5CD8"/>
    <w:rsid w:val="003C036A"/>
    <w:rsid w:val="003C1BA1"/>
    <w:rsid w:val="003C2098"/>
    <w:rsid w:val="003C29F2"/>
    <w:rsid w:val="003C4F07"/>
    <w:rsid w:val="003C57B0"/>
    <w:rsid w:val="003C6111"/>
    <w:rsid w:val="003C6921"/>
    <w:rsid w:val="003C7230"/>
    <w:rsid w:val="003C7D11"/>
    <w:rsid w:val="003D20E3"/>
    <w:rsid w:val="003D237F"/>
    <w:rsid w:val="003D27C9"/>
    <w:rsid w:val="003D70E0"/>
    <w:rsid w:val="003D7503"/>
    <w:rsid w:val="003D764B"/>
    <w:rsid w:val="003E57BC"/>
    <w:rsid w:val="003F0366"/>
    <w:rsid w:val="003F1684"/>
    <w:rsid w:val="003F2906"/>
    <w:rsid w:val="003F4331"/>
    <w:rsid w:val="003F4461"/>
    <w:rsid w:val="003F61A8"/>
    <w:rsid w:val="003F6B8F"/>
    <w:rsid w:val="00401232"/>
    <w:rsid w:val="00403A0F"/>
    <w:rsid w:val="0041003E"/>
    <w:rsid w:val="00414581"/>
    <w:rsid w:val="00416371"/>
    <w:rsid w:val="00416794"/>
    <w:rsid w:val="0042321B"/>
    <w:rsid w:val="00423236"/>
    <w:rsid w:val="004239F3"/>
    <w:rsid w:val="00424FE4"/>
    <w:rsid w:val="00427141"/>
    <w:rsid w:val="00430DB3"/>
    <w:rsid w:val="004331BE"/>
    <w:rsid w:val="00433CBB"/>
    <w:rsid w:val="004344F0"/>
    <w:rsid w:val="00435C0C"/>
    <w:rsid w:val="0043645C"/>
    <w:rsid w:val="0043672B"/>
    <w:rsid w:val="00437118"/>
    <w:rsid w:val="004412CC"/>
    <w:rsid w:val="004414E6"/>
    <w:rsid w:val="00441CE9"/>
    <w:rsid w:val="00441D92"/>
    <w:rsid w:val="00443103"/>
    <w:rsid w:val="00443125"/>
    <w:rsid w:val="00445A20"/>
    <w:rsid w:val="00446C89"/>
    <w:rsid w:val="004510C3"/>
    <w:rsid w:val="00452242"/>
    <w:rsid w:val="004522C3"/>
    <w:rsid w:val="00452DD1"/>
    <w:rsid w:val="0045593B"/>
    <w:rsid w:val="00457DA9"/>
    <w:rsid w:val="004605C3"/>
    <w:rsid w:val="00460BDA"/>
    <w:rsid w:val="00461C1E"/>
    <w:rsid w:val="004624F4"/>
    <w:rsid w:val="0046392C"/>
    <w:rsid w:val="00464265"/>
    <w:rsid w:val="00464874"/>
    <w:rsid w:val="00464E37"/>
    <w:rsid w:val="004660C8"/>
    <w:rsid w:val="004670B4"/>
    <w:rsid w:val="00472DCD"/>
    <w:rsid w:val="00475084"/>
    <w:rsid w:val="00475179"/>
    <w:rsid w:val="00475DC1"/>
    <w:rsid w:val="00477A74"/>
    <w:rsid w:val="0048333A"/>
    <w:rsid w:val="00483BF2"/>
    <w:rsid w:val="00487511"/>
    <w:rsid w:val="00487827"/>
    <w:rsid w:val="0049019F"/>
    <w:rsid w:val="00491371"/>
    <w:rsid w:val="004918FC"/>
    <w:rsid w:val="00492708"/>
    <w:rsid w:val="004944D8"/>
    <w:rsid w:val="004976E9"/>
    <w:rsid w:val="004A0C52"/>
    <w:rsid w:val="004A0E64"/>
    <w:rsid w:val="004A4244"/>
    <w:rsid w:val="004A4F22"/>
    <w:rsid w:val="004A5716"/>
    <w:rsid w:val="004A6EFD"/>
    <w:rsid w:val="004B019B"/>
    <w:rsid w:val="004B09AE"/>
    <w:rsid w:val="004B0D36"/>
    <w:rsid w:val="004B356A"/>
    <w:rsid w:val="004B528C"/>
    <w:rsid w:val="004B7988"/>
    <w:rsid w:val="004C1660"/>
    <w:rsid w:val="004C2330"/>
    <w:rsid w:val="004C2E21"/>
    <w:rsid w:val="004C3490"/>
    <w:rsid w:val="004C56F9"/>
    <w:rsid w:val="004C5A17"/>
    <w:rsid w:val="004C7D67"/>
    <w:rsid w:val="004D1632"/>
    <w:rsid w:val="004D313B"/>
    <w:rsid w:val="004D3E7E"/>
    <w:rsid w:val="004D461D"/>
    <w:rsid w:val="004D4CD7"/>
    <w:rsid w:val="004D4FD6"/>
    <w:rsid w:val="004D676D"/>
    <w:rsid w:val="004D78CD"/>
    <w:rsid w:val="004E19CC"/>
    <w:rsid w:val="004E2286"/>
    <w:rsid w:val="004E360B"/>
    <w:rsid w:val="004E5FE3"/>
    <w:rsid w:val="004E6401"/>
    <w:rsid w:val="004E73CA"/>
    <w:rsid w:val="004F534C"/>
    <w:rsid w:val="004F73EB"/>
    <w:rsid w:val="004F7DA6"/>
    <w:rsid w:val="0050065E"/>
    <w:rsid w:val="00501612"/>
    <w:rsid w:val="005021E1"/>
    <w:rsid w:val="0050550C"/>
    <w:rsid w:val="00506839"/>
    <w:rsid w:val="00510FC3"/>
    <w:rsid w:val="0051210E"/>
    <w:rsid w:val="00513F0E"/>
    <w:rsid w:val="0051488B"/>
    <w:rsid w:val="005148B1"/>
    <w:rsid w:val="00515238"/>
    <w:rsid w:val="00516B43"/>
    <w:rsid w:val="00517AC9"/>
    <w:rsid w:val="00517C4D"/>
    <w:rsid w:val="00520548"/>
    <w:rsid w:val="00520775"/>
    <w:rsid w:val="0052138F"/>
    <w:rsid w:val="00521BF3"/>
    <w:rsid w:val="0052370E"/>
    <w:rsid w:val="00525BF9"/>
    <w:rsid w:val="005304F1"/>
    <w:rsid w:val="00530B89"/>
    <w:rsid w:val="00531DD2"/>
    <w:rsid w:val="00534A85"/>
    <w:rsid w:val="00540573"/>
    <w:rsid w:val="00542EB1"/>
    <w:rsid w:val="00543F79"/>
    <w:rsid w:val="0055062C"/>
    <w:rsid w:val="00553132"/>
    <w:rsid w:val="005534DA"/>
    <w:rsid w:val="00555221"/>
    <w:rsid w:val="005569FE"/>
    <w:rsid w:val="00560619"/>
    <w:rsid w:val="00561121"/>
    <w:rsid w:val="005614B7"/>
    <w:rsid w:val="005622FA"/>
    <w:rsid w:val="0056428B"/>
    <w:rsid w:val="00564DE9"/>
    <w:rsid w:val="00565067"/>
    <w:rsid w:val="0056641F"/>
    <w:rsid w:val="00566B25"/>
    <w:rsid w:val="0057080C"/>
    <w:rsid w:val="0057119B"/>
    <w:rsid w:val="00571454"/>
    <w:rsid w:val="00571A94"/>
    <w:rsid w:val="00571D62"/>
    <w:rsid w:val="00571F3E"/>
    <w:rsid w:val="00572BD9"/>
    <w:rsid w:val="00572C9B"/>
    <w:rsid w:val="005744C3"/>
    <w:rsid w:val="005769F3"/>
    <w:rsid w:val="00582EB0"/>
    <w:rsid w:val="00583B2F"/>
    <w:rsid w:val="005842D1"/>
    <w:rsid w:val="00584BFC"/>
    <w:rsid w:val="00584EE2"/>
    <w:rsid w:val="0058525E"/>
    <w:rsid w:val="00590889"/>
    <w:rsid w:val="005910A9"/>
    <w:rsid w:val="0059115D"/>
    <w:rsid w:val="00592DB1"/>
    <w:rsid w:val="00594623"/>
    <w:rsid w:val="005A0445"/>
    <w:rsid w:val="005A07CF"/>
    <w:rsid w:val="005A4F77"/>
    <w:rsid w:val="005A5A39"/>
    <w:rsid w:val="005A5EBF"/>
    <w:rsid w:val="005A6607"/>
    <w:rsid w:val="005A6BA7"/>
    <w:rsid w:val="005B568E"/>
    <w:rsid w:val="005B7856"/>
    <w:rsid w:val="005C01C5"/>
    <w:rsid w:val="005C051E"/>
    <w:rsid w:val="005C0588"/>
    <w:rsid w:val="005C09A4"/>
    <w:rsid w:val="005C29B0"/>
    <w:rsid w:val="005C2FA2"/>
    <w:rsid w:val="005C463D"/>
    <w:rsid w:val="005C5B6C"/>
    <w:rsid w:val="005C6173"/>
    <w:rsid w:val="005C6F1F"/>
    <w:rsid w:val="005D5613"/>
    <w:rsid w:val="005D5ACA"/>
    <w:rsid w:val="005D759A"/>
    <w:rsid w:val="005E2239"/>
    <w:rsid w:val="005E6107"/>
    <w:rsid w:val="005E6728"/>
    <w:rsid w:val="005E7E39"/>
    <w:rsid w:val="005F0079"/>
    <w:rsid w:val="005F140C"/>
    <w:rsid w:val="005F16F1"/>
    <w:rsid w:val="005F198B"/>
    <w:rsid w:val="005F2171"/>
    <w:rsid w:val="005F2349"/>
    <w:rsid w:val="005F3642"/>
    <w:rsid w:val="005F37C9"/>
    <w:rsid w:val="005F43B6"/>
    <w:rsid w:val="005F67F0"/>
    <w:rsid w:val="005F7CA7"/>
    <w:rsid w:val="0060146C"/>
    <w:rsid w:val="006015B5"/>
    <w:rsid w:val="00601BAB"/>
    <w:rsid w:val="00601C8A"/>
    <w:rsid w:val="006039A3"/>
    <w:rsid w:val="00604838"/>
    <w:rsid w:val="00604B2C"/>
    <w:rsid w:val="00606910"/>
    <w:rsid w:val="0060783E"/>
    <w:rsid w:val="00610A8D"/>
    <w:rsid w:val="00610B0A"/>
    <w:rsid w:val="006127D1"/>
    <w:rsid w:val="00613FB2"/>
    <w:rsid w:val="00616708"/>
    <w:rsid w:val="00617042"/>
    <w:rsid w:val="006176AD"/>
    <w:rsid w:val="006177EA"/>
    <w:rsid w:val="00617A95"/>
    <w:rsid w:val="00620510"/>
    <w:rsid w:val="006235AB"/>
    <w:rsid w:val="00624506"/>
    <w:rsid w:val="00624609"/>
    <w:rsid w:val="00624BF1"/>
    <w:rsid w:val="0062520F"/>
    <w:rsid w:val="00625E8A"/>
    <w:rsid w:val="00626542"/>
    <w:rsid w:val="0062706D"/>
    <w:rsid w:val="006304D4"/>
    <w:rsid w:val="0063382F"/>
    <w:rsid w:val="00633FFF"/>
    <w:rsid w:val="0063411C"/>
    <w:rsid w:val="00636434"/>
    <w:rsid w:val="00636F33"/>
    <w:rsid w:val="00637B0C"/>
    <w:rsid w:val="00637C36"/>
    <w:rsid w:val="00640414"/>
    <w:rsid w:val="00643CDC"/>
    <w:rsid w:val="006443E2"/>
    <w:rsid w:val="00644747"/>
    <w:rsid w:val="00650D66"/>
    <w:rsid w:val="0065209D"/>
    <w:rsid w:val="00653173"/>
    <w:rsid w:val="006542ED"/>
    <w:rsid w:val="006548C6"/>
    <w:rsid w:val="0065612F"/>
    <w:rsid w:val="00660187"/>
    <w:rsid w:val="00660AE6"/>
    <w:rsid w:val="00661C12"/>
    <w:rsid w:val="006621E0"/>
    <w:rsid w:val="00662E25"/>
    <w:rsid w:val="00663FC3"/>
    <w:rsid w:val="006640F6"/>
    <w:rsid w:val="00667D03"/>
    <w:rsid w:val="00673478"/>
    <w:rsid w:val="00674546"/>
    <w:rsid w:val="00677BC5"/>
    <w:rsid w:val="00682FD9"/>
    <w:rsid w:val="00684B4C"/>
    <w:rsid w:val="006870F5"/>
    <w:rsid w:val="00693454"/>
    <w:rsid w:val="006A06E3"/>
    <w:rsid w:val="006A31B1"/>
    <w:rsid w:val="006A3223"/>
    <w:rsid w:val="006A3AE5"/>
    <w:rsid w:val="006A3E54"/>
    <w:rsid w:val="006A4603"/>
    <w:rsid w:val="006A4FA2"/>
    <w:rsid w:val="006A7177"/>
    <w:rsid w:val="006A7DB0"/>
    <w:rsid w:val="006A7F70"/>
    <w:rsid w:val="006B05F9"/>
    <w:rsid w:val="006B2FA5"/>
    <w:rsid w:val="006B3503"/>
    <w:rsid w:val="006B374E"/>
    <w:rsid w:val="006B4A47"/>
    <w:rsid w:val="006B6050"/>
    <w:rsid w:val="006B60C1"/>
    <w:rsid w:val="006B6567"/>
    <w:rsid w:val="006B6D26"/>
    <w:rsid w:val="006D30C6"/>
    <w:rsid w:val="006D403B"/>
    <w:rsid w:val="006D658F"/>
    <w:rsid w:val="006D7BBD"/>
    <w:rsid w:val="006E1B64"/>
    <w:rsid w:val="006E2458"/>
    <w:rsid w:val="006E2A3F"/>
    <w:rsid w:val="006E4CE3"/>
    <w:rsid w:val="006E509C"/>
    <w:rsid w:val="006E55A9"/>
    <w:rsid w:val="006E692D"/>
    <w:rsid w:val="006E6DAE"/>
    <w:rsid w:val="006E7003"/>
    <w:rsid w:val="006E7A08"/>
    <w:rsid w:val="006F00E8"/>
    <w:rsid w:val="006F2EE0"/>
    <w:rsid w:val="006F4681"/>
    <w:rsid w:val="006F4D06"/>
    <w:rsid w:val="006F649D"/>
    <w:rsid w:val="006F73F0"/>
    <w:rsid w:val="006F77C1"/>
    <w:rsid w:val="007001E5"/>
    <w:rsid w:val="00701FC2"/>
    <w:rsid w:val="00706470"/>
    <w:rsid w:val="00707272"/>
    <w:rsid w:val="007111AA"/>
    <w:rsid w:val="00711521"/>
    <w:rsid w:val="00717711"/>
    <w:rsid w:val="0072012C"/>
    <w:rsid w:val="00721497"/>
    <w:rsid w:val="00721FCB"/>
    <w:rsid w:val="0072474E"/>
    <w:rsid w:val="007258DD"/>
    <w:rsid w:val="00727EC0"/>
    <w:rsid w:val="007301E4"/>
    <w:rsid w:val="007308A5"/>
    <w:rsid w:val="00730BF3"/>
    <w:rsid w:val="007326E5"/>
    <w:rsid w:val="00733C46"/>
    <w:rsid w:val="00734ADE"/>
    <w:rsid w:val="00737640"/>
    <w:rsid w:val="007403D9"/>
    <w:rsid w:val="00741D2F"/>
    <w:rsid w:val="00741EC6"/>
    <w:rsid w:val="0074335F"/>
    <w:rsid w:val="00743747"/>
    <w:rsid w:val="00744CC8"/>
    <w:rsid w:val="00747DE1"/>
    <w:rsid w:val="00752CCF"/>
    <w:rsid w:val="00756457"/>
    <w:rsid w:val="00756C7B"/>
    <w:rsid w:val="00756F17"/>
    <w:rsid w:val="007621EA"/>
    <w:rsid w:val="0076297A"/>
    <w:rsid w:val="00764B2B"/>
    <w:rsid w:val="00765682"/>
    <w:rsid w:val="0076578D"/>
    <w:rsid w:val="007671BF"/>
    <w:rsid w:val="0077140D"/>
    <w:rsid w:val="00775677"/>
    <w:rsid w:val="00776EB1"/>
    <w:rsid w:val="00777663"/>
    <w:rsid w:val="00777AF5"/>
    <w:rsid w:val="007800DA"/>
    <w:rsid w:val="00780D8D"/>
    <w:rsid w:val="007811C7"/>
    <w:rsid w:val="0078279D"/>
    <w:rsid w:val="007829A9"/>
    <w:rsid w:val="007846FF"/>
    <w:rsid w:val="00784E7B"/>
    <w:rsid w:val="00786F20"/>
    <w:rsid w:val="00791022"/>
    <w:rsid w:val="00794D2F"/>
    <w:rsid w:val="00795F20"/>
    <w:rsid w:val="007A645E"/>
    <w:rsid w:val="007A79D6"/>
    <w:rsid w:val="007B1E74"/>
    <w:rsid w:val="007B4372"/>
    <w:rsid w:val="007B43AD"/>
    <w:rsid w:val="007B722D"/>
    <w:rsid w:val="007B7A13"/>
    <w:rsid w:val="007C0B70"/>
    <w:rsid w:val="007C1592"/>
    <w:rsid w:val="007C17B0"/>
    <w:rsid w:val="007C1C6F"/>
    <w:rsid w:val="007C226B"/>
    <w:rsid w:val="007C2622"/>
    <w:rsid w:val="007C2DDB"/>
    <w:rsid w:val="007C50BB"/>
    <w:rsid w:val="007C6111"/>
    <w:rsid w:val="007C6550"/>
    <w:rsid w:val="007C6F85"/>
    <w:rsid w:val="007D064C"/>
    <w:rsid w:val="007D3399"/>
    <w:rsid w:val="007D3534"/>
    <w:rsid w:val="007D488D"/>
    <w:rsid w:val="007D4A86"/>
    <w:rsid w:val="007D5ACF"/>
    <w:rsid w:val="007E147F"/>
    <w:rsid w:val="007E2B9A"/>
    <w:rsid w:val="007E51D7"/>
    <w:rsid w:val="007E7A66"/>
    <w:rsid w:val="007F3776"/>
    <w:rsid w:val="007F5B86"/>
    <w:rsid w:val="007F73BC"/>
    <w:rsid w:val="00800267"/>
    <w:rsid w:val="0080160D"/>
    <w:rsid w:val="00801D89"/>
    <w:rsid w:val="00801E85"/>
    <w:rsid w:val="00802C33"/>
    <w:rsid w:val="00803214"/>
    <w:rsid w:val="00803660"/>
    <w:rsid w:val="008038DA"/>
    <w:rsid w:val="00803972"/>
    <w:rsid w:val="00811F8C"/>
    <w:rsid w:val="00812DF2"/>
    <w:rsid w:val="008135DF"/>
    <w:rsid w:val="00813B89"/>
    <w:rsid w:val="008251BB"/>
    <w:rsid w:val="008266F1"/>
    <w:rsid w:val="008272B8"/>
    <w:rsid w:val="00830230"/>
    <w:rsid w:val="00830CB3"/>
    <w:rsid w:val="008318A7"/>
    <w:rsid w:val="00832A3B"/>
    <w:rsid w:val="00832AB3"/>
    <w:rsid w:val="00833E35"/>
    <w:rsid w:val="0083535C"/>
    <w:rsid w:val="00840900"/>
    <w:rsid w:val="00842F4E"/>
    <w:rsid w:val="00843DA8"/>
    <w:rsid w:val="0085033E"/>
    <w:rsid w:val="0085040A"/>
    <w:rsid w:val="00850492"/>
    <w:rsid w:val="00852206"/>
    <w:rsid w:val="00853F55"/>
    <w:rsid w:val="00854FDB"/>
    <w:rsid w:val="00856B6F"/>
    <w:rsid w:val="00861BBA"/>
    <w:rsid w:val="00862517"/>
    <w:rsid w:val="00862E51"/>
    <w:rsid w:val="0086341D"/>
    <w:rsid w:val="0086595D"/>
    <w:rsid w:val="00866163"/>
    <w:rsid w:val="008662FD"/>
    <w:rsid w:val="0087023B"/>
    <w:rsid w:val="0087097B"/>
    <w:rsid w:val="00870DA9"/>
    <w:rsid w:val="00870EBF"/>
    <w:rsid w:val="00873108"/>
    <w:rsid w:val="00873AD8"/>
    <w:rsid w:val="0087572E"/>
    <w:rsid w:val="00876B28"/>
    <w:rsid w:val="00877CBF"/>
    <w:rsid w:val="0088024B"/>
    <w:rsid w:val="008818AE"/>
    <w:rsid w:val="0088386E"/>
    <w:rsid w:val="00887D4F"/>
    <w:rsid w:val="0089002E"/>
    <w:rsid w:val="008908E8"/>
    <w:rsid w:val="00891541"/>
    <w:rsid w:val="00891569"/>
    <w:rsid w:val="00892984"/>
    <w:rsid w:val="008977DA"/>
    <w:rsid w:val="00897946"/>
    <w:rsid w:val="008A0083"/>
    <w:rsid w:val="008A0D4D"/>
    <w:rsid w:val="008A1DC9"/>
    <w:rsid w:val="008A5442"/>
    <w:rsid w:val="008A7E51"/>
    <w:rsid w:val="008B02B5"/>
    <w:rsid w:val="008B383C"/>
    <w:rsid w:val="008B4AC5"/>
    <w:rsid w:val="008B7031"/>
    <w:rsid w:val="008B737A"/>
    <w:rsid w:val="008B745C"/>
    <w:rsid w:val="008B7B3C"/>
    <w:rsid w:val="008C08F2"/>
    <w:rsid w:val="008C2FA8"/>
    <w:rsid w:val="008D1626"/>
    <w:rsid w:val="008D2206"/>
    <w:rsid w:val="008D2D4C"/>
    <w:rsid w:val="008D4B21"/>
    <w:rsid w:val="008D7808"/>
    <w:rsid w:val="008E207F"/>
    <w:rsid w:val="008E2FF9"/>
    <w:rsid w:val="008E4870"/>
    <w:rsid w:val="008E57F2"/>
    <w:rsid w:val="008E6125"/>
    <w:rsid w:val="008E7EAF"/>
    <w:rsid w:val="008F128D"/>
    <w:rsid w:val="008F17E7"/>
    <w:rsid w:val="008F1A65"/>
    <w:rsid w:val="008F2B01"/>
    <w:rsid w:val="008F2BB5"/>
    <w:rsid w:val="008F33CD"/>
    <w:rsid w:val="008F36D0"/>
    <w:rsid w:val="008F3A13"/>
    <w:rsid w:val="008F5471"/>
    <w:rsid w:val="008F6394"/>
    <w:rsid w:val="008F691C"/>
    <w:rsid w:val="008F6A4A"/>
    <w:rsid w:val="00901110"/>
    <w:rsid w:val="00901529"/>
    <w:rsid w:val="009024BA"/>
    <w:rsid w:val="00904BEA"/>
    <w:rsid w:val="00905706"/>
    <w:rsid w:val="0090634A"/>
    <w:rsid w:val="00910402"/>
    <w:rsid w:val="009110FB"/>
    <w:rsid w:val="0091257D"/>
    <w:rsid w:val="0091512F"/>
    <w:rsid w:val="00915F55"/>
    <w:rsid w:val="00921640"/>
    <w:rsid w:val="00921BB2"/>
    <w:rsid w:val="009268FE"/>
    <w:rsid w:val="00927955"/>
    <w:rsid w:val="00932065"/>
    <w:rsid w:val="009320FC"/>
    <w:rsid w:val="0093260D"/>
    <w:rsid w:val="00932B89"/>
    <w:rsid w:val="009340F6"/>
    <w:rsid w:val="00934B45"/>
    <w:rsid w:val="0093606E"/>
    <w:rsid w:val="00936339"/>
    <w:rsid w:val="009428DD"/>
    <w:rsid w:val="0094540B"/>
    <w:rsid w:val="009460FD"/>
    <w:rsid w:val="00950FA2"/>
    <w:rsid w:val="00951DA6"/>
    <w:rsid w:val="009532B2"/>
    <w:rsid w:val="00956796"/>
    <w:rsid w:val="00960A00"/>
    <w:rsid w:val="00962625"/>
    <w:rsid w:val="009630EC"/>
    <w:rsid w:val="00963F30"/>
    <w:rsid w:val="00965C14"/>
    <w:rsid w:val="00971CF7"/>
    <w:rsid w:val="00975666"/>
    <w:rsid w:val="00980D09"/>
    <w:rsid w:val="00981723"/>
    <w:rsid w:val="00983294"/>
    <w:rsid w:val="00983B85"/>
    <w:rsid w:val="00983DFA"/>
    <w:rsid w:val="00984B6F"/>
    <w:rsid w:val="0098549B"/>
    <w:rsid w:val="00985AEC"/>
    <w:rsid w:val="00986B26"/>
    <w:rsid w:val="00986CFD"/>
    <w:rsid w:val="00991268"/>
    <w:rsid w:val="0099401A"/>
    <w:rsid w:val="009950F6"/>
    <w:rsid w:val="009961A7"/>
    <w:rsid w:val="00996828"/>
    <w:rsid w:val="009A21F3"/>
    <w:rsid w:val="009A2415"/>
    <w:rsid w:val="009A39B6"/>
    <w:rsid w:val="009A7557"/>
    <w:rsid w:val="009B1E0A"/>
    <w:rsid w:val="009B210E"/>
    <w:rsid w:val="009B34CA"/>
    <w:rsid w:val="009B3667"/>
    <w:rsid w:val="009B37C3"/>
    <w:rsid w:val="009B46F6"/>
    <w:rsid w:val="009B4DF3"/>
    <w:rsid w:val="009B60DF"/>
    <w:rsid w:val="009B66CF"/>
    <w:rsid w:val="009C00E8"/>
    <w:rsid w:val="009C05FA"/>
    <w:rsid w:val="009C1E5A"/>
    <w:rsid w:val="009C3675"/>
    <w:rsid w:val="009C611B"/>
    <w:rsid w:val="009C6536"/>
    <w:rsid w:val="009D14D2"/>
    <w:rsid w:val="009D196D"/>
    <w:rsid w:val="009D1E31"/>
    <w:rsid w:val="009D4367"/>
    <w:rsid w:val="009D5C5C"/>
    <w:rsid w:val="009E3D25"/>
    <w:rsid w:val="009E5122"/>
    <w:rsid w:val="009E6D4D"/>
    <w:rsid w:val="009F001C"/>
    <w:rsid w:val="009F4E65"/>
    <w:rsid w:val="009F772D"/>
    <w:rsid w:val="009F78E6"/>
    <w:rsid w:val="00A01321"/>
    <w:rsid w:val="00A02324"/>
    <w:rsid w:val="00A02A01"/>
    <w:rsid w:val="00A0315A"/>
    <w:rsid w:val="00A07137"/>
    <w:rsid w:val="00A12643"/>
    <w:rsid w:val="00A1685F"/>
    <w:rsid w:val="00A16C1F"/>
    <w:rsid w:val="00A17383"/>
    <w:rsid w:val="00A204D4"/>
    <w:rsid w:val="00A20CB0"/>
    <w:rsid w:val="00A21AE6"/>
    <w:rsid w:val="00A22DB3"/>
    <w:rsid w:val="00A22F16"/>
    <w:rsid w:val="00A23CE4"/>
    <w:rsid w:val="00A250D7"/>
    <w:rsid w:val="00A256BC"/>
    <w:rsid w:val="00A25D73"/>
    <w:rsid w:val="00A26E9C"/>
    <w:rsid w:val="00A270FE"/>
    <w:rsid w:val="00A27136"/>
    <w:rsid w:val="00A305FC"/>
    <w:rsid w:val="00A417DE"/>
    <w:rsid w:val="00A420BE"/>
    <w:rsid w:val="00A4234D"/>
    <w:rsid w:val="00A44F44"/>
    <w:rsid w:val="00A474CC"/>
    <w:rsid w:val="00A53045"/>
    <w:rsid w:val="00A57765"/>
    <w:rsid w:val="00A627C3"/>
    <w:rsid w:val="00A63882"/>
    <w:rsid w:val="00A63D2B"/>
    <w:rsid w:val="00A63DA4"/>
    <w:rsid w:val="00A65145"/>
    <w:rsid w:val="00A70794"/>
    <w:rsid w:val="00A70A6C"/>
    <w:rsid w:val="00A723C4"/>
    <w:rsid w:val="00A72C71"/>
    <w:rsid w:val="00A73589"/>
    <w:rsid w:val="00A73CCA"/>
    <w:rsid w:val="00A74811"/>
    <w:rsid w:val="00A748E5"/>
    <w:rsid w:val="00A824FA"/>
    <w:rsid w:val="00A82C2C"/>
    <w:rsid w:val="00A8307D"/>
    <w:rsid w:val="00A84899"/>
    <w:rsid w:val="00A865E5"/>
    <w:rsid w:val="00A90581"/>
    <w:rsid w:val="00A9207B"/>
    <w:rsid w:val="00A96791"/>
    <w:rsid w:val="00A9756D"/>
    <w:rsid w:val="00A97C95"/>
    <w:rsid w:val="00A97CE2"/>
    <w:rsid w:val="00AA1960"/>
    <w:rsid w:val="00AA327E"/>
    <w:rsid w:val="00AA3E22"/>
    <w:rsid w:val="00AA574A"/>
    <w:rsid w:val="00AA79EB"/>
    <w:rsid w:val="00AB0FED"/>
    <w:rsid w:val="00AB1707"/>
    <w:rsid w:val="00AB19BB"/>
    <w:rsid w:val="00AB2D7B"/>
    <w:rsid w:val="00AB3187"/>
    <w:rsid w:val="00AB3F93"/>
    <w:rsid w:val="00AB3FB2"/>
    <w:rsid w:val="00AB716B"/>
    <w:rsid w:val="00AB7250"/>
    <w:rsid w:val="00AB7908"/>
    <w:rsid w:val="00AC0003"/>
    <w:rsid w:val="00AC00BF"/>
    <w:rsid w:val="00AC0198"/>
    <w:rsid w:val="00AC0635"/>
    <w:rsid w:val="00AC1EA2"/>
    <w:rsid w:val="00AC1F11"/>
    <w:rsid w:val="00AC28BE"/>
    <w:rsid w:val="00AC4050"/>
    <w:rsid w:val="00AC49C6"/>
    <w:rsid w:val="00AC5F1D"/>
    <w:rsid w:val="00AC5FA0"/>
    <w:rsid w:val="00AD12A1"/>
    <w:rsid w:val="00AD3270"/>
    <w:rsid w:val="00AD342D"/>
    <w:rsid w:val="00AD604A"/>
    <w:rsid w:val="00AD6F8F"/>
    <w:rsid w:val="00AE116A"/>
    <w:rsid w:val="00AE4308"/>
    <w:rsid w:val="00AE4936"/>
    <w:rsid w:val="00AE65C8"/>
    <w:rsid w:val="00AE7F22"/>
    <w:rsid w:val="00AF2A58"/>
    <w:rsid w:val="00AF2B4A"/>
    <w:rsid w:val="00AF324A"/>
    <w:rsid w:val="00AF4180"/>
    <w:rsid w:val="00AF6D76"/>
    <w:rsid w:val="00B006F5"/>
    <w:rsid w:val="00B01574"/>
    <w:rsid w:val="00B01DD7"/>
    <w:rsid w:val="00B04251"/>
    <w:rsid w:val="00B04EF0"/>
    <w:rsid w:val="00B05826"/>
    <w:rsid w:val="00B066D3"/>
    <w:rsid w:val="00B10A8C"/>
    <w:rsid w:val="00B13CB2"/>
    <w:rsid w:val="00B13EC0"/>
    <w:rsid w:val="00B1495C"/>
    <w:rsid w:val="00B16AA4"/>
    <w:rsid w:val="00B20A62"/>
    <w:rsid w:val="00B22BE4"/>
    <w:rsid w:val="00B27419"/>
    <w:rsid w:val="00B27ABE"/>
    <w:rsid w:val="00B30806"/>
    <w:rsid w:val="00B31894"/>
    <w:rsid w:val="00B36709"/>
    <w:rsid w:val="00B417FA"/>
    <w:rsid w:val="00B43ACD"/>
    <w:rsid w:val="00B441B4"/>
    <w:rsid w:val="00B44EEC"/>
    <w:rsid w:val="00B46380"/>
    <w:rsid w:val="00B50735"/>
    <w:rsid w:val="00B5153F"/>
    <w:rsid w:val="00B51920"/>
    <w:rsid w:val="00B540C8"/>
    <w:rsid w:val="00B54AFC"/>
    <w:rsid w:val="00B558FC"/>
    <w:rsid w:val="00B563BC"/>
    <w:rsid w:val="00B571EE"/>
    <w:rsid w:val="00B57705"/>
    <w:rsid w:val="00B61066"/>
    <w:rsid w:val="00B6446A"/>
    <w:rsid w:val="00B6561B"/>
    <w:rsid w:val="00B671DE"/>
    <w:rsid w:val="00B770B1"/>
    <w:rsid w:val="00B82C14"/>
    <w:rsid w:val="00B83763"/>
    <w:rsid w:val="00B84D1A"/>
    <w:rsid w:val="00B84FC0"/>
    <w:rsid w:val="00B85395"/>
    <w:rsid w:val="00B86E19"/>
    <w:rsid w:val="00B9440A"/>
    <w:rsid w:val="00B94996"/>
    <w:rsid w:val="00B97B1B"/>
    <w:rsid w:val="00BA0457"/>
    <w:rsid w:val="00BA1D6B"/>
    <w:rsid w:val="00BA31D1"/>
    <w:rsid w:val="00BA5F2D"/>
    <w:rsid w:val="00BA66F6"/>
    <w:rsid w:val="00BA76CF"/>
    <w:rsid w:val="00BA7E3D"/>
    <w:rsid w:val="00BB0E57"/>
    <w:rsid w:val="00BB1AE5"/>
    <w:rsid w:val="00BB21BC"/>
    <w:rsid w:val="00BB3AEE"/>
    <w:rsid w:val="00BB5272"/>
    <w:rsid w:val="00BB601C"/>
    <w:rsid w:val="00BB71FB"/>
    <w:rsid w:val="00BB7A21"/>
    <w:rsid w:val="00BB7A4A"/>
    <w:rsid w:val="00BC0A03"/>
    <w:rsid w:val="00BC3269"/>
    <w:rsid w:val="00BC5865"/>
    <w:rsid w:val="00BC5C85"/>
    <w:rsid w:val="00BC7247"/>
    <w:rsid w:val="00BD09C5"/>
    <w:rsid w:val="00BD0A35"/>
    <w:rsid w:val="00BD120D"/>
    <w:rsid w:val="00BD1493"/>
    <w:rsid w:val="00BD1AA8"/>
    <w:rsid w:val="00BD3868"/>
    <w:rsid w:val="00BD3AAA"/>
    <w:rsid w:val="00BD5163"/>
    <w:rsid w:val="00BD648F"/>
    <w:rsid w:val="00BD65C9"/>
    <w:rsid w:val="00BD7D0F"/>
    <w:rsid w:val="00BE056E"/>
    <w:rsid w:val="00BE12C6"/>
    <w:rsid w:val="00BE2620"/>
    <w:rsid w:val="00BE3123"/>
    <w:rsid w:val="00BE53B9"/>
    <w:rsid w:val="00BE5B88"/>
    <w:rsid w:val="00BE6005"/>
    <w:rsid w:val="00BF0075"/>
    <w:rsid w:val="00BF1801"/>
    <w:rsid w:val="00BF28EF"/>
    <w:rsid w:val="00BF29C3"/>
    <w:rsid w:val="00BF478D"/>
    <w:rsid w:val="00BF6C15"/>
    <w:rsid w:val="00C02ECB"/>
    <w:rsid w:val="00C04908"/>
    <w:rsid w:val="00C04970"/>
    <w:rsid w:val="00C05931"/>
    <w:rsid w:val="00C05B97"/>
    <w:rsid w:val="00C0617C"/>
    <w:rsid w:val="00C06C47"/>
    <w:rsid w:val="00C104E8"/>
    <w:rsid w:val="00C111F3"/>
    <w:rsid w:val="00C1407E"/>
    <w:rsid w:val="00C20D4D"/>
    <w:rsid w:val="00C23893"/>
    <w:rsid w:val="00C242CC"/>
    <w:rsid w:val="00C24640"/>
    <w:rsid w:val="00C258AC"/>
    <w:rsid w:val="00C30A9C"/>
    <w:rsid w:val="00C31BC3"/>
    <w:rsid w:val="00C32CE2"/>
    <w:rsid w:val="00C34552"/>
    <w:rsid w:val="00C35825"/>
    <w:rsid w:val="00C36141"/>
    <w:rsid w:val="00C42A99"/>
    <w:rsid w:val="00C43D2D"/>
    <w:rsid w:val="00C4480B"/>
    <w:rsid w:val="00C4485C"/>
    <w:rsid w:val="00C50BC9"/>
    <w:rsid w:val="00C524D4"/>
    <w:rsid w:val="00C53299"/>
    <w:rsid w:val="00C552B9"/>
    <w:rsid w:val="00C56C5D"/>
    <w:rsid w:val="00C63FDB"/>
    <w:rsid w:val="00C646AF"/>
    <w:rsid w:val="00C7317F"/>
    <w:rsid w:val="00C73CC3"/>
    <w:rsid w:val="00C740D9"/>
    <w:rsid w:val="00C76170"/>
    <w:rsid w:val="00C77811"/>
    <w:rsid w:val="00C80BC7"/>
    <w:rsid w:val="00C80D29"/>
    <w:rsid w:val="00C82E3E"/>
    <w:rsid w:val="00C83893"/>
    <w:rsid w:val="00C84F26"/>
    <w:rsid w:val="00C853C4"/>
    <w:rsid w:val="00C85408"/>
    <w:rsid w:val="00C85A95"/>
    <w:rsid w:val="00C86EEB"/>
    <w:rsid w:val="00C8714F"/>
    <w:rsid w:val="00C91BFC"/>
    <w:rsid w:val="00C92091"/>
    <w:rsid w:val="00C9325E"/>
    <w:rsid w:val="00C93BBA"/>
    <w:rsid w:val="00CA3AB9"/>
    <w:rsid w:val="00CA460A"/>
    <w:rsid w:val="00CA695E"/>
    <w:rsid w:val="00CA77AE"/>
    <w:rsid w:val="00CA7D30"/>
    <w:rsid w:val="00CB0E24"/>
    <w:rsid w:val="00CB4DED"/>
    <w:rsid w:val="00CB527A"/>
    <w:rsid w:val="00CB5BAE"/>
    <w:rsid w:val="00CB6129"/>
    <w:rsid w:val="00CB69CF"/>
    <w:rsid w:val="00CB73BE"/>
    <w:rsid w:val="00CC11CA"/>
    <w:rsid w:val="00CC41FE"/>
    <w:rsid w:val="00CC4C45"/>
    <w:rsid w:val="00CC689D"/>
    <w:rsid w:val="00CC7851"/>
    <w:rsid w:val="00CC7C89"/>
    <w:rsid w:val="00CC7E0F"/>
    <w:rsid w:val="00CD0331"/>
    <w:rsid w:val="00CD0561"/>
    <w:rsid w:val="00CD1A1D"/>
    <w:rsid w:val="00CD1CC7"/>
    <w:rsid w:val="00CD52DA"/>
    <w:rsid w:val="00CE5AB8"/>
    <w:rsid w:val="00CE5E4A"/>
    <w:rsid w:val="00CF15BC"/>
    <w:rsid w:val="00CF23AF"/>
    <w:rsid w:val="00CF3E98"/>
    <w:rsid w:val="00CF4711"/>
    <w:rsid w:val="00D01447"/>
    <w:rsid w:val="00D04C36"/>
    <w:rsid w:val="00D0661E"/>
    <w:rsid w:val="00D06F50"/>
    <w:rsid w:val="00D11104"/>
    <w:rsid w:val="00D11A50"/>
    <w:rsid w:val="00D1341C"/>
    <w:rsid w:val="00D22D67"/>
    <w:rsid w:val="00D237FD"/>
    <w:rsid w:val="00D23A30"/>
    <w:rsid w:val="00D24F28"/>
    <w:rsid w:val="00D271A3"/>
    <w:rsid w:val="00D301EE"/>
    <w:rsid w:val="00D32EA2"/>
    <w:rsid w:val="00D347F3"/>
    <w:rsid w:val="00D36035"/>
    <w:rsid w:val="00D402BA"/>
    <w:rsid w:val="00D40762"/>
    <w:rsid w:val="00D409A2"/>
    <w:rsid w:val="00D40B56"/>
    <w:rsid w:val="00D41321"/>
    <w:rsid w:val="00D449CC"/>
    <w:rsid w:val="00D458FE"/>
    <w:rsid w:val="00D45B9F"/>
    <w:rsid w:val="00D46197"/>
    <w:rsid w:val="00D4667C"/>
    <w:rsid w:val="00D46BDE"/>
    <w:rsid w:val="00D50923"/>
    <w:rsid w:val="00D545C8"/>
    <w:rsid w:val="00D5476C"/>
    <w:rsid w:val="00D54B0D"/>
    <w:rsid w:val="00D561F2"/>
    <w:rsid w:val="00D569BA"/>
    <w:rsid w:val="00D57238"/>
    <w:rsid w:val="00D574BD"/>
    <w:rsid w:val="00D61D92"/>
    <w:rsid w:val="00D63B21"/>
    <w:rsid w:val="00D63BE0"/>
    <w:rsid w:val="00D63D6B"/>
    <w:rsid w:val="00D64209"/>
    <w:rsid w:val="00D65AAD"/>
    <w:rsid w:val="00D70420"/>
    <w:rsid w:val="00D727F7"/>
    <w:rsid w:val="00D741C8"/>
    <w:rsid w:val="00D74A70"/>
    <w:rsid w:val="00D768C3"/>
    <w:rsid w:val="00D77ECC"/>
    <w:rsid w:val="00D81F59"/>
    <w:rsid w:val="00D84151"/>
    <w:rsid w:val="00D87C3B"/>
    <w:rsid w:val="00D915D1"/>
    <w:rsid w:val="00D9468F"/>
    <w:rsid w:val="00DA1508"/>
    <w:rsid w:val="00DA1BBC"/>
    <w:rsid w:val="00DA7EBA"/>
    <w:rsid w:val="00DB0972"/>
    <w:rsid w:val="00DB187E"/>
    <w:rsid w:val="00DB2C31"/>
    <w:rsid w:val="00DB3D2D"/>
    <w:rsid w:val="00DB58F3"/>
    <w:rsid w:val="00DB5C09"/>
    <w:rsid w:val="00DB609F"/>
    <w:rsid w:val="00DC1B21"/>
    <w:rsid w:val="00DC2170"/>
    <w:rsid w:val="00DC234D"/>
    <w:rsid w:val="00DC245C"/>
    <w:rsid w:val="00DC275D"/>
    <w:rsid w:val="00DC2E9C"/>
    <w:rsid w:val="00DC527B"/>
    <w:rsid w:val="00DC6A18"/>
    <w:rsid w:val="00DD0807"/>
    <w:rsid w:val="00DD473A"/>
    <w:rsid w:val="00DE0C54"/>
    <w:rsid w:val="00DE1E7F"/>
    <w:rsid w:val="00DE601C"/>
    <w:rsid w:val="00DF055F"/>
    <w:rsid w:val="00DF1985"/>
    <w:rsid w:val="00DF1DB1"/>
    <w:rsid w:val="00DF25D0"/>
    <w:rsid w:val="00DF2BCE"/>
    <w:rsid w:val="00DF45DF"/>
    <w:rsid w:val="00DF579D"/>
    <w:rsid w:val="00DF6322"/>
    <w:rsid w:val="00DF69DB"/>
    <w:rsid w:val="00DF7091"/>
    <w:rsid w:val="00DF7830"/>
    <w:rsid w:val="00DF7B30"/>
    <w:rsid w:val="00E02E59"/>
    <w:rsid w:val="00E04C81"/>
    <w:rsid w:val="00E04D9F"/>
    <w:rsid w:val="00E0553F"/>
    <w:rsid w:val="00E100BD"/>
    <w:rsid w:val="00E101FD"/>
    <w:rsid w:val="00E10B5C"/>
    <w:rsid w:val="00E11A07"/>
    <w:rsid w:val="00E14F3E"/>
    <w:rsid w:val="00E1607E"/>
    <w:rsid w:val="00E16703"/>
    <w:rsid w:val="00E204FB"/>
    <w:rsid w:val="00E20AFC"/>
    <w:rsid w:val="00E212FC"/>
    <w:rsid w:val="00E23425"/>
    <w:rsid w:val="00E26773"/>
    <w:rsid w:val="00E26E9F"/>
    <w:rsid w:val="00E27C86"/>
    <w:rsid w:val="00E33023"/>
    <w:rsid w:val="00E37A3C"/>
    <w:rsid w:val="00E44D89"/>
    <w:rsid w:val="00E4723A"/>
    <w:rsid w:val="00E51D1F"/>
    <w:rsid w:val="00E53E0B"/>
    <w:rsid w:val="00E541D5"/>
    <w:rsid w:val="00E55BCA"/>
    <w:rsid w:val="00E5697C"/>
    <w:rsid w:val="00E569C4"/>
    <w:rsid w:val="00E56F96"/>
    <w:rsid w:val="00E6227D"/>
    <w:rsid w:val="00E628E0"/>
    <w:rsid w:val="00E6345E"/>
    <w:rsid w:val="00E6509C"/>
    <w:rsid w:val="00E67CCD"/>
    <w:rsid w:val="00E67D6D"/>
    <w:rsid w:val="00E703F9"/>
    <w:rsid w:val="00E73565"/>
    <w:rsid w:val="00E77B99"/>
    <w:rsid w:val="00E80AD4"/>
    <w:rsid w:val="00E810C7"/>
    <w:rsid w:val="00E84162"/>
    <w:rsid w:val="00E8455C"/>
    <w:rsid w:val="00E86C9F"/>
    <w:rsid w:val="00E86D12"/>
    <w:rsid w:val="00E91485"/>
    <w:rsid w:val="00E927A2"/>
    <w:rsid w:val="00E95D26"/>
    <w:rsid w:val="00E9649A"/>
    <w:rsid w:val="00EA02AC"/>
    <w:rsid w:val="00EA219B"/>
    <w:rsid w:val="00EA48E1"/>
    <w:rsid w:val="00EA70A1"/>
    <w:rsid w:val="00EB02BD"/>
    <w:rsid w:val="00EB3BF5"/>
    <w:rsid w:val="00EB434A"/>
    <w:rsid w:val="00EB53F8"/>
    <w:rsid w:val="00EB60AD"/>
    <w:rsid w:val="00EB7ACA"/>
    <w:rsid w:val="00EB7BC0"/>
    <w:rsid w:val="00EC1336"/>
    <w:rsid w:val="00EC395B"/>
    <w:rsid w:val="00EC405A"/>
    <w:rsid w:val="00EC4AA0"/>
    <w:rsid w:val="00EC4E8E"/>
    <w:rsid w:val="00ED0671"/>
    <w:rsid w:val="00ED0FAD"/>
    <w:rsid w:val="00ED2EBC"/>
    <w:rsid w:val="00ED447C"/>
    <w:rsid w:val="00ED798A"/>
    <w:rsid w:val="00EE1F93"/>
    <w:rsid w:val="00EE52C1"/>
    <w:rsid w:val="00EE7179"/>
    <w:rsid w:val="00EE7421"/>
    <w:rsid w:val="00EE7FA8"/>
    <w:rsid w:val="00EF062B"/>
    <w:rsid w:val="00EF1C37"/>
    <w:rsid w:val="00EF2181"/>
    <w:rsid w:val="00EF4180"/>
    <w:rsid w:val="00EF5A63"/>
    <w:rsid w:val="00EF5CBE"/>
    <w:rsid w:val="00EF608C"/>
    <w:rsid w:val="00EF6822"/>
    <w:rsid w:val="00F00963"/>
    <w:rsid w:val="00F01A5F"/>
    <w:rsid w:val="00F01E0D"/>
    <w:rsid w:val="00F03B17"/>
    <w:rsid w:val="00F042C1"/>
    <w:rsid w:val="00F068EB"/>
    <w:rsid w:val="00F07506"/>
    <w:rsid w:val="00F11C82"/>
    <w:rsid w:val="00F11C89"/>
    <w:rsid w:val="00F1227E"/>
    <w:rsid w:val="00F16227"/>
    <w:rsid w:val="00F231AC"/>
    <w:rsid w:val="00F2428E"/>
    <w:rsid w:val="00F27E9F"/>
    <w:rsid w:val="00F31C3F"/>
    <w:rsid w:val="00F31F52"/>
    <w:rsid w:val="00F3254D"/>
    <w:rsid w:val="00F3291D"/>
    <w:rsid w:val="00F33D95"/>
    <w:rsid w:val="00F350C1"/>
    <w:rsid w:val="00F37EC9"/>
    <w:rsid w:val="00F4216D"/>
    <w:rsid w:val="00F43029"/>
    <w:rsid w:val="00F4486B"/>
    <w:rsid w:val="00F45AFC"/>
    <w:rsid w:val="00F45B2A"/>
    <w:rsid w:val="00F47AC3"/>
    <w:rsid w:val="00F51739"/>
    <w:rsid w:val="00F51C0B"/>
    <w:rsid w:val="00F5588E"/>
    <w:rsid w:val="00F5790A"/>
    <w:rsid w:val="00F60675"/>
    <w:rsid w:val="00F6177F"/>
    <w:rsid w:val="00F628EB"/>
    <w:rsid w:val="00F629AA"/>
    <w:rsid w:val="00F64998"/>
    <w:rsid w:val="00F71DD3"/>
    <w:rsid w:val="00F7609C"/>
    <w:rsid w:val="00F779BE"/>
    <w:rsid w:val="00F802FE"/>
    <w:rsid w:val="00F8214A"/>
    <w:rsid w:val="00F840AA"/>
    <w:rsid w:val="00F8444D"/>
    <w:rsid w:val="00F84535"/>
    <w:rsid w:val="00F84CDC"/>
    <w:rsid w:val="00F86F27"/>
    <w:rsid w:val="00F87689"/>
    <w:rsid w:val="00F901A3"/>
    <w:rsid w:val="00F91F5B"/>
    <w:rsid w:val="00F92250"/>
    <w:rsid w:val="00F92882"/>
    <w:rsid w:val="00F935DF"/>
    <w:rsid w:val="00F94B8F"/>
    <w:rsid w:val="00F94B9B"/>
    <w:rsid w:val="00F95F2F"/>
    <w:rsid w:val="00F966F5"/>
    <w:rsid w:val="00F97B74"/>
    <w:rsid w:val="00FA3478"/>
    <w:rsid w:val="00FA3D16"/>
    <w:rsid w:val="00FA5B1E"/>
    <w:rsid w:val="00FA744E"/>
    <w:rsid w:val="00FB211B"/>
    <w:rsid w:val="00FB35FE"/>
    <w:rsid w:val="00FB493C"/>
    <w:rsid w:val="00FB7027"/>
    <w:rsid w:val="00FC10F6"/>
    <w:rsid w:val="00FC1507"/>
    <w:rsid w:val="00FC17C1"/>
    <w:rsid w:val="00FC48D8"/>
    <w:rsid w:val="00FC5C46"/>
    <w:rsid w:val="00FC6282"/>
    <w:rsid w:val="00FD01F3"/>
    <w:rsid w:val="00FD073D"/>
    <w:rsid w:val="00FD2F84"/>
    <w:rsid w:val="00FD49E3"/>
    <w:rsid w:val="00FE3354"/>
    <w:rsid w:val="00FE3ACC"/>
    <w:rsid w:val="00FE3AE5"/>
    <w:rsid w:val="00FE55AC"/>
    <w:rsid w:val="00FE5A9C"/>
    <w:rsid w:val="00FF0414"/>
    <w:rsid w:val="00FF0F73"/>
    <w:rsid w:val="00FF13FF"/>
    <w:rsid w:val="00FF3259"/>
    <w:rsid w:val="00FF3510"/>
    <w:rsid w:val="00FF5BC9"/>
    <w:rsid w:val="00FF650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C6B7A"/>
  <w15:chartTrackingRefBased/>
  <w15:docId w15:val="{FF1ECCF0-9A56-7043-A103-676D754C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ta-IN"/>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775"/>
    <w:rPr>
      <w:kern w:val="0"/>
      <w:sz w:val="21"/>
      <w:szCs w:val="22"/>
      <w:lang w:bidi="ar-SA"/>
      <w14:ligatures w14:val="none"/>
    </w:rPr>
  </w:style>
  <w:style w:type="paragraph" w:styleId="Heading1">
    <w:name w:val="heading 1"/>
    <w:basedOn w:val="Normal"/>
    <w:next w:val="Normal"/>
    <w:link w:val="Heading1Char"/>
    <w:uiPriority w:val="9"/>
    <w:qFormat/>
    <w:rsid w:val="00BC724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bidi="ta-IN"/>
      <w14:ligatures w14:val="standardContextual"/>
    </w:rPr>
  </w:style>
  <w:style w:type="paragraph" w:styleId="Heading2">
    <w:name w:val="heading 2"/>
    <w:basedOn w:val="Normal"/>
    <w:next w:val="Normal"/>
    <w:link w:val="Heading2Char"/>
    <w:uiPriority w:val="9"/>
    <w:unhideWhenUsed/>
    <w:qFormat/>
    <w:rsid w:val="00BC724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bidi="ta-IN"/>
      <w14:ligatures w14:val="standardContextual"/>
    </w:rPr>
  </w:style>
  <w:style w:type="paragraph" w:styleId="Heading3">
    <w:name w:val="heading 3"/>
    <w:basedOn w:val="Normal"/>
    <w:next w:val="Normal"/>
    <w:link w:val="Heading3Char"/>
    <w:uiPriority w:val="9"/>
    <w:unhideWhenUsed/>
    <w:qFormat/>
    <w:rsid w:val="00BC7247"/>
    <w:pPr>
      <w:keepNext/>
      <w:keepLines/>
      <w:spacing w:before="160" w:after="80" w:line="278" w:lineRule="auto"/>
      <w:outlineLvl w:val="2"/>
    </w:pPr>
    <w:rPr>
      <w:rFonts w:eastAsiaTheme="majorEastAsia" w:cstheme="majorBidi"/>
      <w:color w:val="2F5496" w:themeColor="accent1" w:themeShade="BF"/>
      <w:kern w:val="2"/>
      <w:sz w:val="28"/>
      <w:szCs w:val="28"/>
      <w:lang w:bidi="ta-IN"/>
      <w14:ligatures w14:val="standardContextual"/>
    </w:rPr>
  </w:style>
  <w:style w:type="paragraph" w:styleId="Heading4">
    <w:name w:val="heading 4"/>
    <w:basedOn w:val="Normal"/>
    <w:next w:val="Normal"/>
    <w:link w:val="Heading4Char"/>
    <w:uiPriority w:val="9"/>
    <w:unhideWhenUsed/>
    <w:qFormat/>
    <w:rsid w:val="00BC7247"/>
    <w:pPr>
      <w:keepNext/>
      <w:keepLines/>
      <w:spacing w:before="80" w:after="40" w:line="278" w:lineRule="auto"/>
      <w:outlineLvl w:val="3"/>
    </w:pPr>
    <w:rPr>
      <w:rFonts w:eastAsiaTheme="majorEastAsia" w:cstheme="majorBidi"/>
      <w:i/>
      <w:iCs/>
      <w:color w:val="2F5496" w:themeColor="accent1" w:themeShade="BF"/>
      <w:kern w:val="2"/>
      <w:sz w:val="24"/>
      <w:szCs w:val="24"/>
      <w:lang w:bidi="ta-IN"/>
      <w14:ligatures w14:val="standardContextual"/>
    </w:rPr>
  </w:style>
  <w:style w:type="paragraph" w:styleId="Heading5">
    <w:name w:val="heading 5"/>
    <w:basedOn w:val="Normal"/>
    <w:next w:val="Normal"/>
    <w:link w:val="Heading5Char"/>
    <w:uiPriority w:val="9"/>
    <w:unhideWhenUsed/>
    <w:qFormat/>
    <w:rsid w:val="00BC7247"/>
    <w:pPr>
      <w:keepNext/>
      <w:keepLines/>
      <w:spacing w:before="80" w:after="40" w:line="278" w:lineRule="auto"/>
      <w:outlineLvl w:val="4"/>
    </w:pPr>
    <w:rPr>
      <w:rFonts w:eastAsiaTheme="majorEastAsia" w:cstheme="majorBidi"/>
      <w:color w:val="2F5496" w:themeColor="accent1" w:themeShade="BF"/>
      <w:kern w:val="2"/>
      <w:sz w:val="24"/>
      <w:szCs w:val="24"/>
      <w:lang w:bidi="ta-IN"/>
      <w14:ligatures w14:val="standardContextual"/>
    </w:rPr>
  </w:style>
  <w:style w:type="paragraph" w:styleId="Heading6">
    <w:name w:val="heading 6"/>
    <w:basedOn w:val="Normal"/>
    <w:next w:val="Normal"/>
    <w:link w:val="Heading6Char"/>
    <w:uiPriority w:val="9"/>
    <w:semiHidden/>
    <w:unhideWhenUsed/>
    <w:qFormat/>
    <w:rsid w:val="00BC7247"/>
    <w:pPr>
      <w:keepNext/>
      <w:keepLines/>
      <w:spacing w:before="40" w:after="0" w:line="278" w:lineRule="auto"/>
      <w:outlineLvl w:val="5"/>
    </w:pPr>
    <w:rPr>
      <w:rFonts w:eastAsiaTheme="majorEastAsia" w:cstheme="majorBidi"/>
      <w:i/>
      <w:iCs/>
      <w:color w:val="595959" w:themeColor="text1" w:themeTint="A6"/>
      <w:kern w:val="2"/>
      <w:sz w:val="24"/>
      <w:szCs w:val="24"/>
      <w:lang w:bidi="ta-IN"/>
      <w14:ligatures w14:val="standardContextual"/>
    </w:rPr>
  </w:style>
  <w:style w:type="paragraph" w:styleId="Heading7">
    <w:name w:val="heading 7"/>
    <w:basedOn w:val="Normal"/>
    <w:next w:val="Normal"/>
    <w:link w:val="Heading7Char"/>
    <w:uiPriority w:val="9"/>
    <w:semiHidden/>
    <w:unhideWhenUsed/>
    <w:qFormat/>
    <w:rsid w:val="00BC7247"/>
    <w:pPr>
      <w:keepNext/>
      <w:keepLines/>
      <w:spacing w:before="40" w:after="0" w:line="278" w:lineRule="auto"/>
      <w:outlineLvl w:val="6"/>
    </w:pPr>
    <w:rPr>
      <w:rFonts w:eastAsiaTheme="majorEastAsia" w:cstheme="majorBidi"/>
      <w:color w:val="595959" w:themeColor="text1" w:themeTint="A6"/>
      <w:kern w:val="2"/>
      <w:sz w:val="24"/>
      <w:szCs w:val="24"/>
      <w:lang w:bidi="ta-IN"/>
      <w14:ligatures w14:val="standardContextual"/>
    </w:rPr>
  </w:style>
  <w:style w:type="paragraph" w:styleId="Heading8">
    <w:name w:val="heading 8"/>
    <w:basedOn w:val="Normal"/>
    <w:next w:val="Normal"/>
    <w:link w:val="Heading8Char"/>
    <w:uiPriority w:val="9"/>
    <w:semiHidden/>
    <w:unhideWhenUsed/>
    <w:qFormat/>
    <w:rsid w:val="00BC7247"/>
    <w:pPr>
      <w:keepNext/>
      <w:keepLines/>
      <w:spacing w:after="0" w:line="278" w:lineRule="auto"/>
      <w:outlineLvl w:val="7"/>
    </w:pPr>
    <w:rPr>
      <w:rFonts w:eastAsiaTheme="majorEastAsia" w:cstheme="majorBidi"/>
      <w:i/>
      <w:iCs/>
      <w:color w:val="272727" w:themeColor="text1" w:themeTint="D8"/>
      <w:kern w:val="2"/>
      <w:sz w:val="24"/>
      <w:szCs w:val="24"/>
      <w:lang w:bidi="ta-IN"/>
      <w14:ligatures w14:val="standardContextual"/>
    </w:rPr>
  </w:style>
  <w:style w:type="paragraph" w:styleId="Heading9">
    <w:name w:val="heading 9"/>
    <w:basedOn w:val="Normal"/>
    <w:next w:val="Normal"/>
    <w:link w:val="Heading9Char"/>
    <w:uiPriority w:val="9"/>
    <w:semiHidden/>
    <w:unhideWhenUsed/>
    <w:qFormat/>
    <w:rsid w:val="00BC7247"/>
    <w:pPr>
      <w:keepNext/>
      <w:keepLines/>
      <w:spacing w:after="0" w:line="278" w:lineRule="auto"/>
      <w:outlineLvl w:val="8"/>
    </w:pPr>
    <w:rPr>
      <w:rFonts w:eastAsiaTheme="majorEastAsia" w:cstheme="majorBidi"/>
      <w:color w:val="272727" w:themeColor="text1" w:themeTint="D8"/>
      <w:kern w:val="2"/>
      <w:sz w:val="24"/>
      <w:szCs w:val="24"/>
      <w:lang w:bidi="ta-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2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C72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C72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C72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BC72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7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247"/>
    <w:rPr>
      <w:rFonts w:eastAsiaTheme="majorEastAsia" w:cstheme="majorBidi"/>
      <w:color w:val="272727" w:themeColor="text1" w:themeTint="D8"/>
    </w:rPr>
  </w:style>
  <w:style w:type="paragraph" w:styleId="Title">
    <w:name w:val="Title"/>
    <w:basedOn w:val="Normal"/>
    <w:next w:val="Normal"/>
    <w:link w:val="TitleChar"/>
    <w:uiPriority w:val="10"/>
    <w:qFormat/>
    <w:rsid w:val="00BC7247"/>
    <w:pPr>
      <w:spacing w:after="80" w:line="240" w:lineRule="auto"/>
      <w:contextualSpacing/>
    </w:pPr>
    <w:rPr>
      <w:rFonts w:asciiTheme="majorHAnsi" w:eastAsiaTheme="majorEastAsia" w:hAnsiTheme="majorHAnsi" w:cstheme="majorBidi"/>
      <w:spacing w:val="-10"/>
      <w:kern w:val="28"/>
      <w:sz w:val="56"/>
      <w:szCs w:val="56"/>
      <w:lang w:bidi="ta-IN"/>
      <w14:ligatures w14:val="standardContextual"/>
    </w:rPr>
  </w:style>
  <w:style w:type="character" w:customStyle="1" w:styleId="TitleChar">
    <w:name w:val="Title Char"/>
    <w:basedOn w:val="DefaultParagraphFont"/>
    <w:link w:val="Title"/>
    <w:uiPriority w:val="10"/>
    <w:rsid w:val="00BC7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247"/>
    <w:pPr>
      <w:numPr>
        <w:ilvl w:val="1"/>
      </w:numPr>
      <w:spacing w:after="160" w:line="278" w:lineRule="auto"/>
    </w:pPr>
    <w:rPr>
      <w:rFonts w:eastAsiaTheme="majorEastAsia" w:cstheme="majorBidi"/>
      <w:color w:val="595959" w:themeColor="text1" w:themeTint="A6"/>
      <w:spacing w:val="15"/>
      <w:kern w:val="2"/>
      <w:sz w:val="28"/>
      <w:szCs w:val="28"/>
      <w:lang w:bidi="ta-IN"/>
      <w14:ligatures w14:val="standardContextual"/>
    </w:rPr>
  </w:style>
  <w:style w:type="character" w:customStyle="1" w:styleId="SubtitleChar">
    <w:name w:val="Subtitle Char"/>
    <w:basedOn w:val="DefaultParagraphFont"/>
    <w:link w:val="Subtitle"/>
    <w:uiPriority w:val="11"/>
    <w:rsid w:val="00BC7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247"/>
    <w:pPr>
      <w:spacing w:before="160" w:after="160" w:line="278" w:lineRule="auto"/>
      <w:jc w:val="center"/>
    </w:pPr>
    <w:rPr>
      <w:rFonts w:cs="Latha"/>
      <w:i/>
      <w:iCs/>
      <w:color w:val="404040" w:themeColor="text1" w:themeTint="BF"/>
      <w:kern w:val="2"/>
      <w:sz w:val="24"/>
      <w:szCs w:val="24"/>
      <w:lang w:bidi="ta-IN"/>
      <w14:ligatures w14:val="standardContextual"/>
    </w:rPr>
  </w:style>
  <w:style w:type="character" w:customStyle="1" w:styleId="QuoteChar">
    <w:name w:val="Quote Char"/>
    <w:basedOn w:val="DefaultParagraphFont"/>
    <w:link w:val="Quote"/>
    <w:uiPriority w:val="29"/>
    <w:rsid w:val="00BC7247"/>
    <w:rPr>
      <w:rFonts w:cs="Latha"/>
      <w:i/>
      <w:iCs/>
      <w:color w:val="404040" w:themeColor="text1" w:themeTint="BF"/>
    </w:rPr>
  </w:style>
  <w:style w:type="paragraph" w:styleId="ListParagraph">
    <w:name w:val="List Paragraph"/>
    <w:basedOn w:val="Normal"/>
    <w:uiPriority w:val="34"/>
    <w:qFormat/>
    <w:rsid w:val="00BC7247"/>
    <w:pPr>
      <w:spacing w:after="160" w:line="278" w:lineRule="auto"/>
      <w:ind w:left="720"/>
      <w:contextualSpacing/>
    </w:pPr>
    <w:rPr>
      <w:rFonts w:cs="Latha"/>
      <w:kern w:val="2"/>
      <w:sz w:val="24"/>
      <w:szCs w:val="24"/>
      <w:lang w:bidi="ta-IN"/>
      <w14:ligatures w14:val="standardContextual"/>
    </w:rPr>
  </w:style>
  <w:style w:type="character" w:styleId="IntenseEmphasis">
    <w:name w:val="Intense Emphasis"/>
    <w:basedOn w:val="DefaultParagraphFont"/>
    <w:uiPriority w:val="21"/>
    <w:qFormat/>
    <w:rsid w:val="00BC7247"/>
    <w:rPr>
      <w:i/>
      <w:iCs/>
      <w:color w:val="2F5496" w:themeColor="accent1" w:themeShade="BF"/>
    </w:rPr>
  </w:style>
  <w:style w:type="paragraph" w:styleId="IntenseQuote">
    <w:name w:val="Intense Quote"/>
    <w:basedOn w:val="Normal"/>
    <w:next w:val="Normal"/>
    <w:link w:val="IntenseQuoteChar"/>
    <w:uiPriority w:val="30"/>
    <w:qFormat/>
    <w:rsid w:val="00BC724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cs="Latha"/>
      <w:i/>
      <w:iCs/>
      <w:color w:val="2F5496" w:themeColor="accent1" w:themeShade="BF"/>
      <w:kern w:val="2"/>
      <w:sz w:val="24"/>
      <w:szCs w:val="24"/>
      <w:lang w:bidi="ta-IN"/>
      <w14:ligatures w14:val="standardContextual"/>
    </w:rPr>
  </w:style>
  <w:style w:type="character" w:customStyle="1" w:styleId="IntenseQuoteChar">
    <w:name w:val="Intense Quote Char"/>
    <w:basedOn w:val="DefaultParagraphFont"/>
    <w:link w:val="IntenseQuote"/>
    <w:uiPriority w:val="30"/>
    <w:rsid w:val="00BC7247"/>
    <w:rPr>
      <w:rFonts w:cs="Latha"/>
      <w:i/>
      <w:iCs/>
      <w:color w:val="2F5496" w:themeColor="accent1" w:themeShade="BF"/>
    </w:rPr>
  </w:style>
  <w:style w:type="character" w:styleId="IntenseReference">
    <w:name w:val="Intense Reference"/>
    <w:basedOn w:val="DefaultParagraphFont"/>
    <w:uiPriority w:val="32"/>
    <w:qFormat/>
    <w:rsid w:val="00BC7247"/>
    <w:rPr>
      <w:b/>
      <w:bCs/>
      <w:smallCaps/>
      <w:color w:val="2F5496" w:themeColor="accent1" w:themeShade="BF"/>
      <w:spacing w:val="5"/>
    </w:rPr>
  </w:style>
  <w:style w:type="character" w:styleId="Hyperlink">
    <w:name w:val="Hyperlink"/>
    <w:basedOn w:val="DefaultParagraphFont"/>
    <w:uiPriority w:val="99"/>
    <w:unhideWhenUsed/>
    <w:rsid w:val="00BC7247"/>
    <w:rPr>
      <w:color w:val="0563C1" w:themeColor="hyperlink"/>
      <w:u w:val="single"/>
    </w:rPr>
  </w:style>
  <w:style w:type="paragraph" w:styleId="TOCHeading">
    <w:name w:val="TOC Heading"/>
    <w:basedOn w:val="Heading1"/>
    <w:next w:val="Normal"/>
    <w:uiPriority w:val="39"/>
    <w:unhideWhenUsed/>
    <w:qFormat/>
    <w:rsid w:val="00BC7247"/>
    <w:pPr>
      <w:spacing w:before="480" w:after="0" w:line="264" w:lineRule="auto"/>
      <w:jc w:val="center"/>
      <w:outlineLvl w:val="9"/>
    </w:pPr>
    <w:rPr>
      <w:rFonts w:ascii="Times New Roman" w:hAnsi="Times New Roman" w:cs="Times New Roman"/>
      <w:b/>
      <w:bCs/>
      <w:color w:val="auto"/>
      <w:spacing w:val="20"/>
      <w:kern w:val="0"/>
      <w:sz w:val="32"/>
      <w:szCs w:val="32"/>
      <w:lang w:bidi="ar-SA"/>
      <w14:ligatures w14:val="none"/>
    </w:rPr>
  </w:style>
  <w:style w:type="character" w:styleId="CommentReference">
    <w:name w:val="annotation reference"/>
    <w:basedOn w:val="DefaultParagraphFont"/>
    <w:uiPriority w:val="99"/>
    <w:semiHidden/>
    <w:unhideWhenUsed/>
    <w:rsid w:val="00BC7247"/>
    <w:rPr>
      <w:sz w:val="16"/>
      <w:szCs w:val="16"/>
    </w:rPr>
  </w:style>
  <w:style w:type="paragraph" w:styleId="CommentText">
    <w:name w:val="annotation text"/>
    <w:basedOn w:val="Normal"/>
    <w:link w:val="CommentTextChar"/>
    <w:uiPriority w:val="99"/>
    <w:unhideWhenUsed/>
    <w:rsid w:val="00BC7247"/>
    <w:pPr>
      <w:spacing w:line="240" w:lineRule="auto"/>
    </w:pPr>
    <w:rPr>
      <w:sz w:val="20"/>
      <w:szCs w:val="20"/>
    </w:rPr>
  </w:style>
  <w:style w:type="character" w:customStyle="1" w:styleId="CommentTextChar">
    <w:name w:val="Comment Text Char"/>
    <w:basedOn w:val="DefaultParagraphFont"/>
    <w:link w:val="CommentText"/>
    <w:uiPriority w:val="99"/>
    <w:rsid w:val="00BC7247"/>
    <w:rPr>
      <w:kern w:val="0"/>
      <w:sz w:val="20"/>
      <w:szCs w:val="20"/>
      <w:lang w:bidi="ar-SA"/>
      <w14:ligatures w14:val="none"/>
    </w:rPr>
  </w:style>
  <w:style w:type="paragraph" w:styleId="TOC2">
    <w:name w:val="toc 2"/>
    <w:basedOn w:val="Normal"/>
    <w:next w:val="Normal"/>
    <w:autoRedefine/>
    <w:uiPriority w:val="39"/>
    <w:unhideWhenUsed/>
    <w:rsid w:val="00BC7247"/>
    <w:pPr>
      <w:spacing w:before="120" w:after="0"/>
      <w:ind w:left="210"/>
    </w:pPr>
    <w:rPr>
      <w:rFonts w:cs="Times New Roman"/>
      <w:b/>
      <w:bCs/>
      <w:sz w:val="22"/>
      <w:szCs w:val="26"/>
    </w:rPr>
  </w:style>
  <w:style w:type="paragraph" w:styleId="TOC1">
    <w:name w:val="toc 1"/>
    <w:basedOn w:val="Normal"/>
    <w:next w:val="Normal"/>
    <w:autoRedefine/>
    <w:uiPriority w:val="39"/>
    <w:unhideWhenUsed/>
    <w:rsid w:val="002479BC"/>
    <w:pPr>
      <w:tabs>
        <w:tab w:val="right" w:leader="underscore" w:pos="10756"/>
      </w:tabs>
      <w:spacing w:before="120" w:after="0"/>
    </w:pPr>
    <w:rPr>
      <w:rFonts w:cs="Times New Roman"/>
      <w:b/>
      <w:bCs/>
      <w:i/>
      <w:iCs/>
      <w:sz w:val="24"/>
      <w:szCs w:val="28"/>
    </w:rPr>
  </w:style>
  <w:style w:type="paragraph" w:styleId="TOC3">
    <w:name w:val="toc 3"/>
    <w:basedOn w:val="Normal"/>
    <w:next w:val="Normal"/>
    <w:autoRedefine/>
    <w:uiPriority w:val="39"/>
    <w:unhideWhenUsed/>
    <w:rsid w:val="00BC7247"/>
    <w:pPr>
      <w:spacing w:after="0"/>
      <w:ind w:left="420"/>
    </w:pPr>
    <w:rPr>
      <w:rFonts w:cs="Times New Roman"/>
      <w:sz w:val="20"/>
      <w:szCs w:val="24"/>
    </w:rPr>
  </w:style>
  <w:style w:type="paragraph" w:styleId="BalloonText">
    <w:name w:val="Balloon Text"/>
    <w:basedOn w:val="Normal"/>
    <w:link w:val="BalloonTextChar"/>
    <w:uiPriority w:val="99"/>
    <w:semiHidden/>
    <w:unhideWhenUsed/>
    <w:rsid w:val="005F1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140C"/>
    <w:rPr>
      <w:rFonts w:ascii="Segoe UI" w:hAnsi="Segoe UI" w:cs="Segoe UI"/>
      <w:kern w:val="0"/>
      <w:sz w:val="18"/>
      <w:szCs w:val="18"/>
      <w:lang w:bidi="ar-SA"/>
      <w14:ligatures w14:val="none"/>
    </w:rPr>
  </w:style>
  <w:style w:type="paragraph" w:styleId="NormalWeb">
    <w:name w:val="Normal (Web)"/>
    <w:basedOn w:val="Normal"/>
    <w:uiPriority w:val="99"/>
    <w:unhideWhenUsed/>
    <w:rsid w:val="0050683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06839"/>
    <w:rPr>
      <w:i/>
      <w:iCs/>
    </w:rPr>
  </w:style>
  <w:style w:type="paragraph" w:styleId="NoSpacing">
    <w:name w:val="No Spacing"/>
    <w:uiPriority w:val="1"/>
    <w:qFormat/>
    <w:rsid w:val="00023F26"/>
    <w:pPr>
      <w:spacing w:after="0" w:line="240" w:lineRule="auto"/>
    </w:pPr>
    <w:rPr>
      <w:kern w:val="0"/>
      <w:sz w:val="21"/>
      <w:szCs w:val="22"/>
      <w:lang w:bidi="ar-SA"/>
      <w14:ligatures w14:val="none"/>
    </w:rPr>
  </w:style>
  <w:style w:type="character" w:styleId="Strong">
    <w:name w:val="Strong"/>
    <w:basedOn w:val="DefaultParagraphFont"/>
    <w:uiPriority w:val="22"/>
    <w:qFormat/>
    <w:rsid w:val="0029434A"/>
    <w:rPr>
      <w:b/>
      <w:bCs/>
    </w:rPr>
  </w:style>
  <w:style w:type="table" w:styleId="ListTable6Colourful">
    <w:name w:val="List Table 6 Colorful"/>
    <w:basedOn w:val="TableNormal"/>
    <w:uiPriority w:val="51"/>
    <w:rsid w:val="0052370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9A2415"/>
    <w:pPr>
      <w:spacing w:after="0" w:line="240" w:lineRule="auto"/>
    </w:pPr>
    <w:rPr>
      <w:kern w:val="0"/>
      <w:sz w:val="21"/>
      <w:szCs w:val="22"/>
      <w:lang w:bidi="ar-SA"/>
      <w14:ligatures w14:val="none"/>
    </w:rPr>
  </w:style>
  <w:style w:type="paragraph" w:styleId="CommentSubject">
    <w:name w:val="annotation subject"/>
    <w:basedOn w:val="CommentText"/>
    <w:next w:val="CommentText"/>
    <w:link w:val="CommentSubjectChar"/>
    <w:uiPriority w:val="99"/>
    <w:semiHidden/>
    <w:unhideWhenUsed/>
    <w:rsid w:val="00F92882"/>
    <w:rPr>
      <w:b/>
      <w:bCs/>
    </w:rPr>
  </w:style>
  <w:style w:type="character" w:customStyle="1" w:styleId="CommentSubjectChar">
    <w:name w:val="Comment Subject Char"/>
    <w:basedOn w:val="CommentTextChar"/>
    <w:link w:val="CommentSubject"/>
    <w:uiPriority w:val="99"/>
    <w:semiHidden/>
    <w:rsid w:val="00F92882"/>
    <w:rPr>
      <w:b/>
      <w:bCs/>
      <w:kern w:val="0"/>
      <w:sz w:val="20"/>
      <w:szCs w:val="20"/>
      <w:lang w:bidi="ar-SA"/>
      <w14:ligatures w14:val="none"/>
    </w:rPr>
  </w:style>
  <w:style w:type="paragraph" w:styleId="Header">
    <w:name w:val="header"/>
    <w:basedOn w:val="Normal"/>
    <w:link w:val="HeaderChar"/>
    <w:uiPriority w:val="99"/>
    <w:unhideWhenUsed/>
    <w:rsid w:val="001605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56E"/>
    <w:rPr>
      <w:kern w:val="0"/>
      <w:sz w:val="21"/>
      <w:szCs w:val="22"/>
      <w:lang w:bidi="ar-SA"/>
      <w14:ligatures w14:val="none"/>
    </w:rPr>
  </w:style>
  <w:style w:type="paragraph" w:styleId="Footer">
    <w:name w:val="footer"/>
    <w:basedOn w:val="Normal"/>
    <w:link w:val="FooterChar"/>
    <w:uiPriority w:val="99"/>
    <w:unhideWhenUsed/>
    <w:rsid w:val="001605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56E"/>
    <w:rPr>
      <w:kern w:val="0"/>
      <w:sz w:val="21"/>
      <w:szCs w:val="22"/>
      <w:lang w:bidi="ar-SA"/>
      <w14:ligatures w14:val="none"/>
    </w:rPr>
  </w:style>
  <w:style w:type="table" w:styleId="PlainTable5">
    <w:name w:val="Plain Table 5"/>
    <w:basedOn w:val="TableNormal"/>
    <w:uiPriority w:val="45"/>
    <w:rsid w:val="0022772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92843">
      <w:bodyDiv w:val="1"/>
      <w:marLeft w:val="0"/>
      <w:marRight w:val="0"/>
      <w:marTop w:val="0"/>
      <w:marBottom w:val="0"/>
      <w:divBdr>
        <w:top w:val="none" w:sz="0" w:space="0" w:color="auto"/>
        <w:left w:val="none" w:sz="0" w:space="0" w:color="auto"/>
        <w:bottom w:val="none" w:sz="0" w:space="0" w:color="auto"/>
        <w:right w:val="none" w:sz="0" w:space="0" w:color="auto"/>
      </w:divBdr>
    </w:div>
    <w:div w:id="331875118">
      <w:bodyDiv w:val="1"/>
      <w:marLeft w:val="0"/>
      <w:marRight w:val="0"/>
      <w:marTop w:val="0"/>
      <w:marBottom w:val="0"/>
      <w:divBdr>
        <w:top w:val="none" w:sz="0" w:space="0" w:color="auto"/>
        <w:left w:val="none" w:sz="0" w:space="0" w:color="auto"/>
        <w:bottom w:val="none" w:sz="0" w:space="0" w:color="auto"/>
        <w:right w:val="none" w:sz="0" w:space="0" w:color="auto"/>
      </w:divBdr>
    </w:div>
    <w:div w:id="345833513">
      <w:bodyDiv w:val="1"/>
      <w:marLeft w:val="0"/>
      <w:marRight w:val="0"/>
      <w:marTop w:val="0"/>
      <w:marBottom w:val="0"/>
      <w:divBdr>
        <w:top w:val="none" w:sz="0" w:space="0" w:color="auto"/>
        <w:left w:val="none" w:sz="0" w:space="0" w:color="auto"/>
        <w:bottom w:val="none" w:sz="0" w:space="0" w:color="auto"/>
        <w:right w:val="none" w:sz="0" w:space="0" w:color="auto"/>
      </w:divBdr>
    </w:div>
    <w:div w:id="387265194">
      <w:bodyDiv w:val="1"/>
      <w:marLeft w:val="0"/>
      <w:marRight w:val="0"/>
      <w:marTop w:val="0"/>
      <w:marBottom w:val="0"/>
      <w:divBdr>
        <w:top w:val="none" w:sz="0" w:space="0" w:color="auto"/>
        <w:left w:val="none" w:sz="0" w:space="0" w:color="auto"/>
        <w:bottom w:val="none" w:sz="0" w:space="0" w:color="auto"/>
        <w:right w:val="none" w:sz="0" w:space="0" w:color="auto"/>
      </w:divBdr>
    </w:div>
    <w:div w:id="427895569">
      <w:bodyDiv w:val="1"/>
      <w:marLeft w:val="0"/>
      <w:marRight w:val="0"/>
      <w:marTop w:val="0"/>
      <w:marBottom w:val="0"/>
      <w:divBdr>
        <w:top w:val="none" w:sz="0" w:space="0" w:color="auto"/>
        <w:left w:val="none" w:sz="0" w:space="0" w:color="auto"/>
        <w:bottom w:val="none" w:sz="0" w:space="0" w:color="auto"/>
        <w:right w:val="none" w:sz="0" w:space="0" w:color="auto"/>
      </w:divBdr>
    </w:div>
    <w:div w:id="459612414">
      <w:bodyDiv w:val="1"/>
      <w:marLeft w:val="0"/>
      <w:marRight w:val="0"/>
      <w:marTop w:val="0"/>
      <w:marBottom w:val="0"/>
      <w:divBdr>
        <w:top w:val="none" w:sz="0" w:space="0" w:color="auto"/>
        <w:left w:val="none" w:sz="0" w:space="0" w:color="auto"/>
        <w:bottom w:val="none" w:sz="0" w:space="0" w:color="auto"/>
        <w:right w:val="none" w:sz="0" w:space="0" w:color="auto"/>
      </w:divBdr>
    </w:div>
    <w:div w:id="643779017">
      <w:bodyDiv w:val="1"/>
      <w:marLeft w:val="0"/>
      <w:marRight w:val="0"/>
      <w:marTop w:val="0"/>
      <w:marBottom w:val="0"/>
      <w:divBdr>
        <w:top w:val="none" w:sz="0" w:space="0" w:color="auto"/>
        <w:left w:val="none" w:sz="0" w:space="0" w:color="auto"/>
        <w:bottom w:val="none" w:sz="0" w:space="0" w:color="auto"/>
        <w:right w:val="none" w:sz="0" w:space="0" w:color="auto"/>
      </w:divBdr>
    </w:div>
    <w:div w:id="753823439">
      <w:bodyDiv w:val="1"/>
      <w:marLeft w:val="0"/>
      <w:marRight w:val="0"/>
      <w:marTop w:val="0"/>
      <w:marBottom w:val="0"/>
      <w:divBdr>
        <w:top w:val="none" w:sz="0" w:space="0" w:color="auto"/>
        <w:left w:val="none" w:sz="0" w:space="0" w:color="auto"/>
        <w:bottom w:val="none" w:sz="0" w:space="0" w:color="auto"/>
        <w:right w:val="none" w:sz="0" w:space="0" w:color="auto"/>
      </w:divBdr>
    </w:div>
    <w:div w:id="885065609">
      <w:bodyDiv w:val="1"/>
      <w:marLeft w:val="0"/>
      <w:marRight w:val="0"/>
      <w:marTop w:val="0"/>
      <w:marBottom w:val="0"/>
      <w:divBdr>
        <w:top w:val="none" w:sz="0" w:space="0" w:color="auto"/>
        <w:left w:val="none" w:sz="0" w:space="0" w:color="auto"/>
        <w:bottom w:val="none" w:sz="0" w:space="0" w:color="auto"/>
        <w:right w:val="none" w:sz="0" w:space="0" w:color="auto"/>
      </w:divBdr>
    </w:div>
    <w:div w:id="891188460">
      <w:bodyDiv w:val="1"/>
      <w:marLeft w:val="0"/>
      <w:marRight w:val="0"/>
      <w:marTop w:val="0"/>
      <w:marBottom w:val="0"/>
      <w:divBdr>
        <w:top w:val="none" w:sz="0" w:space="0" w:color="auto"/>
        <w:left w:val="none" w:sz="0" w:space="0" w:color="auto"/>
        <w:bottom w:val="none" w:sz="0" w:space="0" w:color="auto"/>
        <w:right w:val="none" w:sz="0" w:space="0" w:color="auto"/>
      </w:divBdr>
    </w:div>
    <w:div w:id="926620716">
      <w:bodyDiv w:val="1"/>
      <w:marLeft w:val="0"/>
      <w:marRight w:val="0"/>
      <w:marTop w:val="0"/>
      <w:marBottom w:val="0"/>
      <w:divBdr>
        <w:top w:val="none" w:sz="0" w:space="0" w:color="auto"/>
        <w:left w:val="none" w:sz="0" w:space="0" w:color="auto"/>
        <w:bottom w:val="none" w:sz="0" w:space="0" w:color="auto"/>
        <w:right w:val="none" w:sz="0" w:space="0" w:color="auto"/>
      </w:divBdr>
    </w:div>
    <w:div w:id="1001852950">
      <w:bodyDiv w:val="1"/>
      <w:marLeft w:val="0"/>
      <w:marRight w:val="0"/>
      <w:marTop w:val="0"/>
      <w:marBottom w:val="0"/>
      <w:divBdr>
        <w:top w:val="none" w:sz="0" w:space="0" w:color="auto"/>
        <w:left w:val="none" w:sz="0" w:space="0" w:color="auto"/>
        <w:bottom w:val="none" w:sz="0" w:space="0" w:color="auto"/>
        <w:right w:val="none" w:sz="0" w:space="0" w:color="auto"/>
      </w:divBdr>
    </w:div>
    <w:div w:id="1257784608">
      <w:bodyDiv w:val="1"/>
      <w:marLeft w:val="0"/>
      <w:marRight w:val="0"/>
      <w:marTop w:val="0"/>
      <w:marBottom w:val="0"/>
      <w:divBdr>
        <w:top w:val="none" w:sz="0" w:space="0" w:color="auto"/>
        <w:left w:val="none" w:sz="0" w:space="0" w:color="auto"/>
        <w:bottom w:val="none" w:sz="0" w:space="0" w:color="auto"/>
        <w:right w:val="none" w:sz="0" w:space="0" w:color="auto"/>
      </w:divBdr>
    </w:div>
    <w:div w:id="1283339192">
      <w:bodyDiv w:val="1"/>
      <w:marLeft w:val="0"/>
      <w:marRight w:val="0"/>
      <w:marTop w:val="0"/>
      <w:marBottom w:val="0"/>
      <w:divBdr>
        <w:top w:val="none" w:sz="0" w:space="0" w:color="auto"/>
        <w:left w:val="none" w:sz="0" w:space="0" w:color="auto"/>
        <w:bottom w:val="none" w:sz="0" w:space="0" w:color="auto"/>
        <w:right w:val="none" w:sz="0" w:space="0" w:color="auto"/>
      </w:divBdr>
    </w:div>
    <w:div w:id="1531063301">
      <w:bodyDiv w:val="1"/>
      <w:marLeft w:val="0"/>
      <w:marRight w:val="0"/>
      <w:marTop w:val="0"/>
      <w:marBottom w:val="0"/>
      <w:divBdr>
        <w:top w:val="none" w:sz="0" w:space="0" w:color="auto"/>
        <w:left w:val="none" w:sz="0" w:space="0" w:color="auto"/>
        <w:bottom w:val="none" w:sz="0" w:space="0" w:color="auto"/>
        <w:right w:val="none" w:sz="0" w:space="0" w:color="auto"/>
      </w:divBdr>
    </w:div>
    <w:div w:id="1737704149">
      <w:bodyDiv w:val="1"/>
      <w:marLeft w:val="0"/>
      <w:marRight w:val="0"/>
      <w:marTop w:val="0"/>
      <w:marBottom w:val="0"/>
      <w:divBdr>
        <w:top w:val="none" w:sz="0" w:space="0" w:color="auto"/>
        <w:left w:val="none" w:sz="0" w:space="0" w:color="auto"/>
        <w:bottom w:val="none" w:sz="0" w:space="0" w:color="auto"/>
        <w:right w:val="none" w:sz="0" w:space="0" w:color="auto"/>
      </w:divBdr>
    </w:div>
    <w:div w:id="1774012348">
      <w:bodyDiv w:val="1"/>
      <w:marLeft w:val="0"/>
      <w:marRight w:val="0"/>
      <w:marTop w:val="0"/>
      <w:marBottom w:val="0"/>
      <w:divBdr>
        <w:top w:val="none" w:sz="0" w:space="0" w:color="auto"/>
        <w:left w:val="none" w:sz="0" w:space="0" w:color="auto"/>
        <w:bottom w:val="none" w:sz="0" w:space="0" w:color="auto"/>
        <w:right w:val="none" w:sz="0" w:space="0" w:color="auto"/>
      </w:divBdr>
    </w:div>
    <w:div w:id="1964575869">
      <w:bodyDiv w:val="1"/>
      <w:marLeft w:val="0"/>
      <w:marRight w:val="0"/>
      <w:marTop w:val="0"/>
      <w:marBottom w:val="0"/>
      <w:divBdr>
        <w:top w:val="none" w:sz="0" w:space="0" w:color="auto"/>
        <w:left w:val="none" w:sz="0" w:space="0" w:color="auto"/>
        <w:bottom w:val="none" w:sz="0" w:space="0" w:color="auto"/>
        <w:right w:val="none" w:sz="0" w:space="0" w:color="auto"/>
      </w:divBdr>
    </w:div>
    <w:div w:id="2037272830">
      <w:bodyDiv w:val="1"/>
      <w:marLeft w:val="0"/>
      <w:marRight w:val="0"/>
      <w:marTop w:val="0"/>
      <w:marBottom w:val="0"/>
      <w:divBdr>
        <w:top w:val="none" w:sz="0" w:space="0" w:color="auto"/>
        <w:left w:val="none" w:sz="0" w:space="0" w:color="auto"/>
        <w:bottom w:val="none" w:sz="0" w:space="0" w:color="auto"/>
        <w:right w:val="none" w:sz="0" w:space="0" w:color="auto"/>
      </w:divBdr>
    </w:div>
    <w:div w:id="2061784800">
      <w:bodyDiv w:val="1"/>
      <w:marLeft w:val="0"/>
      <w:marRight w:val="0"/>
      <w:marTop w:val="0"/>
      <w:marBottom w:val="0"/>
      <w:divBdr>
        <w:top w:val="none" w:sz="0" w:space="0" w:color="auto"/>
        <w:left w:val="none" w:sz="0" w:space="0" w:color="auto"/>
        <w:bottom w:val="none" w:sz="0" w:space="0" w:color="auto"/>
        <w:right w:val="none" w:sz="0" w:space="0" w:color="auto"/>
      </w:divBdr>
    </w:div>
    <w:div w:id="208471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doi.org/10.1186/s12940-018-0427-5" TargetMode="External"/><Relationship Id="rId26" Type="http://schemas.openxmlformats.org/officeDocument/2006/relationships/hyperlink" Target="https://doi.org/10.5267/j.msl.2020.1.001" TargetMode="External"/><Relationship Id="rId3" Type="http://schemas.openxmlformats.org/officeDocument/2006/relationships/styles" Target="styles.xml"/><Relationship Id="rId21" Type="http://schemas.openxmlformats.org/officeDocument/2006/relationships/hyperlink" Target="https://doi.org/10.4102/sajhrm.v21i0.2188"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doi.org/10.1177/0049124187016001004" TargetMode="External"/><Relationship Id="rId25" Type="http://schemas.openxmlformats.org/officeDocument/2006/relationships/hyperlink" Target="https://doi.org/10.1108/PR-10-2016-0267" TargetMode="External"/><Relationship Id="rId2" Type="http://schemas.openxmlformats.org/officeDocument/2006/relationships/numbering" Target="numbering.xml"/><Relationship Id="rId16" Type="http://schemas.openxmlformats.org/officeDocument/2006/relationships/hyperlink" Target="https://doi.org/10.1037/0022-3514.51.6.1173" TargetMode="External"/><Relationship Id="rId20" Type="http://schemas.openxmlformats.org/officeDocument/2006/relationships/hyperlink" Target="https://doi.org/10.1177/00910260241226731" TargetMode="External"/><Relationship Id="rId29" Type="http://schemas.openxmlformats.org/officeDocument/2006/relationships/hyperlink" Target="https://doi.org/10.1016/j.jtrangeo.2019.04.0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doi.org/10.1037/0021-9010.88.5.879" TargetMode="External"/><Relationship Id="rId5" Type="http://schemas.openxmlformats.org/officeDocument/2006/relationships/webSettings" Target="webSettings.xml"/><Relationship Id="rId15" Type="http://schemas.openxmlformats.org/officeDocument/2006/relationships/hyperlink" Target="https://doi.org/10.1016/0148-2963(92)90022-4" TargetMode="External"/><Relationship Id="rId23" Type="http://schemas.openxmlformats.org/officeDocument/2006/relationships/hyperlink" Target="https://doi.org/10.9734/BJAST/2015/14975" TargetMode="External"/><Relationship Id="rId28" Type="http://schemas.openxmlformats.org/officeDocument/2006/relationships/hyperlink" Target="https://doi.org/10.1080/03075079.2019.1628200" TargetMode="External"/><Relationship Id="rId10" Type="http://schemas.openxmlformats.org/officeDocument/2006/relationships/hyperlink" Target="https://doi.org/10.1177/1523422318757210" TargetMode="External"/><Relationship Id="rId19" Type="http://schemas.openxmlformats.org/officeDocument/2006/relationships/hyperlink" Target="https://doi.org/10.1371/journal.pmed.100369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17/jmo.2022.76" TargetMode="External"/><Relationship Id="rId14" Type="http://schemas.openxmlformats.org/officeDocument/2006/relationships/hyperlink" Target="https://doi.org/10.1080/19186444.2022.2039048" TargetMode="External"/><Relationship Id="rId22" Type="http://schemas.openxmlformats.org/officeDocument/2006/relationships/hyperlink" Target="https://doi.org/10.1007/s11747-014-0403-8" TargetMode="External"/><Relationship Id="rId27" Type="http://schemas.openxmlformats.org/officeDocument/2006/relationships/hyperlink" Target="https://doi.org/10.1016/j.jfbs.2020.100358" TargetMode="External"/><Relationship Id="rId30" Type="http://schemas.openxmlformats.org/officeDocument/2006/relationships/fontTable" Target="fontTable.xm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Mel18</b:Tag>
    <b:SourceType>JournalArticle</b:SourceType>
    <b:Guid>{9AE67F55-9357-4CC5-B850-D21D9E55522D}</b:Guid>
    <b:Author>
      <b:Author>
        <b:NameList>
          <b:Person>
            <b:Last>Melnikovas</b:Last>
            <b:First>A.</b:First>
          </b:Person>
        </b:NameList>
      </b:Author>
    </b:Author>
    <b:Title>Towards an explicit research methodology: Adapting research onion model for futures studies</b:Title>
    <b:JournalName>Journal of Futures Studies</b:JournalName>
    <b:Year>2018</b:Year>
    <b:Pages>29-44</b:Pages>
    <b:RefOrder>1</b:RefOrder>
  </b:Source>
  <b:Source>
    <b:Tag>Rey04</b:Tag>
    <b:SourceType>Book</b:SourceType>
    <b:Guid>{273A4DCA-D567-45EC-B867-4ABC3AAC6DE4}</b:Guid>
    <b:Title>Social research: A deductive approach</b:Title>
    <b:Year>2004</b:Year>
    <b:Author>
      <b:Author>
        <b:NameList>
          <b:Person>
            <b:Last>Reyes</b:Last>
            <b:First>M.</b:First>
            <b:Middle>Z.</b:Middle>
          </b:Person>
        </b:NameList>
      </b:Author>
    </b:Author>
    <b:Publisher>Rex Bookstore, Inc</b:Publisher>
    <b:RefOrder>2</b:RefOrder>
  </b:Source>
  <b:Source>
    <b:Tag>Cha191</b:Tag>
    <b:SourceType>JournalArticle</b:SourceType>
    <b:Guid>{B6E41056-9FF1-4DC9-828C-227DC41619A4}</b:Guid>
    <b:Title>Systematically reviewing remote e-workers’ well-being at work: A multidimensional approach</b:Title>
    <b:Year>2019</b:Year>
    <b:Author>
      <b:Author>
        <b:NameList>
          <b:Person>
            <b:Last>Charalampous</b:Last>
            <b:First>M.</b:First>
          </b:Person>
          <b:Person>
            <b:Last>Grant</b:Last>
            <b:First>C.</b:First>
            <b:Middle>A.</b:Middle>
          </b:Person>
          <b:Person>
            <b:Last>Tramontano</b:Last>
            <b:First>C.</b:First>
          </b:Person>
          <b:Person>
            <b:Last>Michailidis</b:Last>
            <b:First>E.</b:First>
          </b:Person>
        </b:NameList>
      </b:Author>
    </b:Author>
    <b:JournalName>European Journal of Work and Organizational Psychology</b:JournalName>
    <b:Pages>51-73</b:Pages>
    <b:RefOrder>3</b:RefOrder>
  </b:Source>
  <b:Source>
    <b:Tag>Rah201</b:Tag>
    <b:SourceType>JournalArticle</b:SourceType>
    <b:Guid>{5BCA1964-AD29-4414-9E5E-B0096D9F9A8C}</b:Guid>
    <b:Author>
      <b:Author>
        <b:NameList>
          <b:Person>
            <b:Last>Rahman</b:Last>
            <b:First>M.</b:First>
            <b:Middle>S.</b:Middle>
          </b:Person>
        </b:NameList>
      </b:Author>
    </b:Author>
    <b:Title>The advantages and disadvantages of using qualitative and quantitative approaches and methods in language “testing and assessment” research: A literature review</b:Title>
    <b:Year>2020</b:Year>
    <b:RefOrder>4</b:RefOrder>
  </b:Source>
  <b:Source>
    <b:Tag>Sed14</b:Tag>
    <b:SourceType>JournalArticle</b:SourceType>
    <b:Guid>{89160205-11DB-4925-A092-C41AC46360D2}</b:Guid>
    <b:Author>
      <b:Author>
        <b:NameList>
          <b:Person>
            <b:Last>Sedgwick</b:Last>
            <b:First>P.</b:First>
          </b:Person>
        </b:NameList>
      </b:Author>
    </b:Author>
    <b:Title>Cross sectional studies: advantages and disadvantages</b:Title>
    <b:JournalName>Bmj</b:JournalName>
    <b:Year>2014</b:Year>
    <b:RefOrder>5</b:RefOrder>
  </b:Source>
  <b:Source>
    <b:Tag>Lev06</b:Tag>
    <b:SourceType>JournalArticle</b:SourceType>
    <b:Guid>{BB57CDDF-4DFC-4F5F-9EA4-B11601437E26}</b:Guid>
    <b:Author>
      <b:Author>
        <b:NameList>
          <b:Person>
            <b:Last>Levin</b:Last>
            <b:First>K.</b:First>
            <b:Middle>A.</b:Middle>
          </b:Person>
        </b:NameList>
      </b:Author>
    </b:Author>
    <b:Title>Study design III: Cross-sectional studies</b:Title>
    <b:JournalName>Evidence-based dentistry</b:JournalName>
    <b:Year>2006</b:Year>
    <b:Pages>24-25</b:Pages>
    <b:RefOrder>6</b:RefOrder>
  </b:Source>
  <b:Source>
    <b:Tag>Ach133</b:Tag>
    <b:SourceType>JournalArticle</b:SourceType>
    <b:Guid>{4B97772D-7476-4843-95F8-3E68A09CB315}</b:Guid>
    <b:Author>
      <b:Author>
        <b:NameList>
          <b:Person>
            <b:Last>Acharya</b:Last>
            <b:First>A.</b:First>
            <b:Middle>S.</b:Middle>
          </b:Person>
          <b:Person>
            <b:Last>Prakash</b:Last>
            <b:First>A.</b:First>
          </b:Person>
          <b:Person>
            <b:Last>Saxena</b:Last>
            <b:First>P.</b:First>
          </b:Person>
          <b:Person>
            <b:Last>Nigam</b:Last>
            <b:First>A.</b:First>
          </b:Person>
        </b:NameList>
      </b:Author>
    </b:Author>
    <b:Title>Sampling: Why and how of it</b:Title>
    <b:JournalName>Indian Journal of Medical Specialties</b:JournalName>
    <b:Year>2013</b:Year>
    <b:Pages>330-333</b:Pages>
    <b:RefOrder>7</b:RefOrder>
  </b:Source>
  <b:Source>
    <b:Tag>Mal06</b:Tag>
    <b:SourceType>JournalArticle</b:SourceType>
    <b:Guid>{48D524BA-FCF7-4C26-92DD-84142D057245}</b:Guid>
    <b:Author>
      <b:Author>
        <b:NameList>
          <b:Person>
            <b:Last>Malhotra</b:Last>
            <b:First>N.</b:First>
            <b:Middle>K.</b:Middle>
          </b:Person>
        </b:NameList>
      </b:Author>
    </b:Author>
    <b:Title>Questionnaire design and scale development</b:Title>
    <b:JournalName>The handbook of marketing research: Uses, misuses, and future advances</b:JournalName>
    <b:Year>2006</b:Year>
    <b:Pages>83-94</b:Pages>
    <b:RefOrder>8</b:RefOrder>
  </b:Source>
  <b:Source>
    <b:Tag>Mac08</b:Tag>
    <b:SourceType>JournalArticle</b:SourceType>
    <b:Guid>{DA1CE46A-2B62-4464-90A1-E3AD5B981214}</b:Guid>
    <b:Author>
      <b:Author>
        <b:NameList>
          <b:Person>
            <b:Last>Macky</b:Last>
            <b:First>K.</b:First>
          </b:Person>
          <b:Person>
            <b:Last>Boxall</b:Last>
            <b:First>P.</b:First>
          </b:Person>
        </b:NameList>
      </b:Author>
    </b:Author>
    <b:Title>High-involvement work processes, work intensification and employee well-being: A study of New Zealand worker experiences</b:Title>
    <b:JournalName>Asia Pacific Journal of Human Resources</b:JournalName>
    <b:Year>2008</b:Year>
    <b:Pages>38-55</b:Pages>
    <b:RefOrder>9</b:RefOrder>
  </b:Source>
  <b:Source>
    <b:Tag>Van99</b:Tag>
    <b:SourceType>JournalArticle</b:SourceType>
    <b:Guid>{73926EDB-080C-4A36-8A44-4B6C34593945}</b:Guid>
    <b:Author>
      <b:Author>
        <b:NameList>
          <b:Person>
            <b:Last>Vandenberg</b:Last>
            <b:First>R.J.</b:First>
          </b:Person>
          <b:Person>
            <b:Last>Richardson</b:Last>
            <b:First>H.A.</b:First>
          </b:Person>
          <b:Person>
            <b:Last>Eastman</b:Last>
            <b:First>L.J.</b:First>
          </b:Person>
        </b:NameList>
      </b:Author>
    </b:Author>
    <b:Title>The impact of high involvement work processes on organisational effectiveness: A second order latent variable approach</b:Title>
    <b:JournalName>Group and Organisational Management</b:JournalName>
    <b:Year>1999</b:Year>
    <b:Pages>300-39</b:Pages>
    <b:RefOrder>10</b:RefOrder>
  </b:Source>
  <b:Source>
    <b:Tag>Coh88</b:Tag>
    <b:SourceType>Book</b:SourceType>
    <b:Guid>{C1227CAB-9D98-4CAA-A948-81C72A81B231}</b:Guid>
    <b:Title>Perceived Stress in a Probability Sample of the United States</b:Title>
    <b:Year>1988</b:Year>
    <b:Author>
      <b:Author>
        <b:NameList>
          <b:Person>
            <b:Last>Cohen</b:Last>
            <b:First>S.</b:First>
          </b:Person>
          <b:Person>
            <b:Last>Williamson</b:Last>
            <b:First>G.</b:First>
          </b:Person>
        </b:NameList>
      </b:Author>
    </b:Author>
    <b:City>Newbury Park, CA</b:City>
    <b:Publisher>Sage</b:Publisher>
    <b:RefOrder>11</b:RefOrder>
  </b:Source>
  <b:Source>
    <b:Tag>Hol09</b:Tag>
    <b:SourceType>JournalArticle</b:SourceType>
    <b:Guid>{E4D50267-3FDA-4B3B-A99F-AF2C5A45DE0B}</b:Guid>
    <b:Author>
      <b:Author>
        <b:NameList>
          <b:Person>
            <b:Last>Holmgren</b:Last>
            <b:First>K.</b:First>
          </b:Person>
          <b:Person>
            <b:Last>Hensing</b:Last>
            <b:First>G.</b:First>
          </b:Person>
          <b:Person>
            <b:Last>Dahlin-Ivanoff</b:Last>
            <b:First>S.</b:First>
          </b:Person>
        </b:NameList>
      </b:Author>
    </b:Author>
    <b:Title>Development of a questionnaire assessing work-related stress in women–identifying individuals who risk being put on sick leave</b:Title>
    <b:Year>2009</b:Year>
    <b:JournalName>Disability and rehabilitation</b:JournalName>
    <b:Pages>284-292</b:Pages>
    <b:RefOrder>12</b:RefOrder>
  </b:Source>
  <b:Source>
    <b:Tag>Fra191</b:Tag>
    <b:SourceType>JournalArticle</b:SourceType>
    <b:Guid>{EEDEDD6B-7480-40D3-A98B-85AEE3052F14}</b:Guid>
    <b:Author>
      <b:Author>
        <b:NameList>
          <b:Person>
            <b:Last>Frantz</b:Last>
            <b:First>A.</b:First>
          </b:Person>
          <b:Person>
            <b:Last>Holmgren</b:Last>
            <b:First>K.</b:First>
          </b:Person>
        </b:NameList>
      </b:Author>
    </b:Author>
    <b:Title>The Work Stress Questionnaire (WSQ) – reliability and face validity among male workers</b:Title>
    <b:JournalName>BMC Public Health</b:JournalName>
    <b:Year>2019</b:Year>
    <b:RefOrder>13</b:RefOrder>
  </b:Source>
  <b:Source>
    <b:Tag>Nor21</b:Tag>
    <b:SourceType>InternetSite</b:SourceType>
    <b:Guid>{C17AAE32-D2AA-46C3-8C3D-A98CF7C55488}</b:Guid>
    <b:Title>Measuring Job Satisfaction: 7 Questionnaires, Surveys, &amp; Scales</b:Title>
    <b:Year>2021</b:Year>
    <b:Author>
      <b:Author>
        <b:NameList>
          <b:Person>
            <b:Last>Nortje</b:Last>
            <b:First>A.</b:First>
          </b:Person>
        </b:NameList>
      </b:Author>
    </b:Author>
    <b:InternetSiteTitle>Positive Psychology</b:InternetSiteTitle>
    <b:Month>August</b:Month>
    <b:Day>18</b:Day>
    <b:URL>https://positivepsychology.com/job-satisfaction-questionnaires-surveys/</b:URL>
    <b:RefOrder>14</b:RefOrder>
  </b:Source>
  <b:Source>
    <b:Tag>Hac74</b:Tag>
    <b:SourceType>Book</b:SourceType>
    <b:Guid>{9819F08E-D67C-4CFA-88A2-72103284E58E}</b:Guid>
    <b:Author>
      <b:Author>
        <b:NameList>
          <b:Person>
            <b:Last>Hackman</b:Last>
            <b:First>J.R.</b:First>
          </b:Person>
          <b:Person>
            <b:Last>Oldham</b:Last>
            <b:First>G.R.</b:First>
          </b:Person>
        </b:NameList>
      </b:Author>
    </b:Author>
    <b:Title>The Job Diagnostic Survey: An instrument for the diagnosis of jobs and the evaluation of job redesign projects</b:Title>
    <b:Year>1974</b:Year>
    <b:City>New Haven, CT</b:City>
    <b:Publisher>Yale University</b:Publisher>
    <b:RefOrder>15</b:RefOrder>
  </b:Source>
  <b:Source>
    <b:Tag>And12</b:Tag>
    <b:SourceType>Book</b:SourceType>
    <b:Guid>{79985534-F6A7-4904-A860-DC3F68F1AFAE}</b:Guid>
    <b:Author>
      <b:Author>
        <b:NameList>
          <b:Person>
            <b:Last>Andrews</b:Last>
            <b:First>F.</b:First>
            <b:Middle>M.</b:Middle>
          </b:Person>
          <b:Person>
            <b:Last>Withey</b:Last>
            <b:First>S.</b:First>
            <b:Middle>B.</b:Middle>
          </b:Person>
        </b:NameList>
      </b:Author>
    </b:Author>
    <b:Title>Social indicators of well-being: Americans' perceptions of life quality</b:Title>
    <b:Year>2012</b:Year>
    <b:Publisher>Springer Science &amp; Business Media</b:Publisher>
    <b:RefOrder>16</b:RefOrder>
  </b:Source>
  <b:Source>
    <b:Tag>Koo15</b:Tag>
    <b:SourceType>Book</b:SourceType>
    <b:Guid>{56FFF751-FFA2-4DA4-A2FC-5464C30F1B99}</b:Guid>
    <b:Title>Individual Work Performance Questionnaire instruction manual</b:Title>
    <b:Year>2015</b:Year>
    <b:City>Amsterdam, NL</b:City>
    <b:Publisher>TNO Innovation for Life – VU University Medical Center</b:Publisher>
    <b:Author>
      <b:Author>
        <b:NameList>
          <b:Person>
            <b:Last>Koopmans</b:Last>
            <b:First>L.</b:First>
          </b:Person>
        </b:NameList>
      </b:Author>
    </b:Author>
    <b:RefOrder>17</b:RefOrder>
  </b:Source>
  <b:Source>
    <b:Tag>Ram19</b:Tag>
    <b:SourceType>JournalArticle</b:SourceType>
    <b:Guid>{3CAC077A-28AB-45B5-8069-0952DFC421B3}</b:Guid>
    <b:Title>Assessing Job Performance Using Brief Self-report Scales: The Case of the Individual Work Performance Questionnaire</b:Title>
    <b:Year>2019</b:Year>
    <b:Author>
      <b:Author>
        <b:NameList>
          <b:Person>
            <b:Last>Ramos-Villagrasa</b:Last>
            <b:First>P.</b:First>
            <b:Middle>J.</b:Middle>
          </b:Person>
          <b:Person>
            <b:Last>Barrada</b:Last>
            <b:First>J.</b:First>
            <b:Middle>R.</b:Middle>
          </b:Person>
          <b:Person>
            <b:Last>Fernández-del-Río</b:Last>
            <b:First>E.</b:First>
          </b:Person>
          <b:Person>
            <b:Last>Koopmans</b:Last>
            <b:First>L.</b:First>
          </b:Person>
        </b:NameList>
      </b:Author>
    </b:Author>
    <b:JournalName>Revista de Psicología Del Trabajo y de Las Organizaciones</b:JournalName>
    <b:Pages>195-205</b:Pages>
    <b:RefOrder>18</b:RefOrder>
  </b:Source>
  <b:Source>
    <b:Tag>Kim19</b:Tag>
    <b:SourceType>JournalArticle</b:SourceType>
    <b:Guid>{E263D091-406D-43D0-8CA4-E6D3DB98DA3D}</b:Guid>
    <b:Author>
      <b:Author>
        <b:NameList>
          <b:Person>
            <b:Last>Kim</b:Last>
            <b:First>K.</b:First>
          </b:Person>
          <b:Person>
            <b:Last>Shin</b:Last>
            <b:First>T.</b:First>
            <b:Middle>H.</b:Middle>
          </b:Person>
        </b:NameList>
      </b:Author>
    </b:Author>
    <b:Title>Additive effects of performance-and commitment-oriented human resource management systems on organizational outcomes</b:Title>
    <b:JournalName>Sustainability</b:JournalName>
    <b:Year>2019</b:Year>
    <b:RefOrder>19</b:RefOrder>
  </b:Source>
  <b:Source>
    <b:Tag>Wri05</b:Tag>
    <b:SourceType>JournalArticle</b:SourceType>
    <b:Guid>{8EE5C630-873C-423F-8AE7-E5B5A2F89693}</b:Guid>
    <b:Author>
      <b:Author>
        <b:NameList>
          <b:Person>
            <b:Last>Wright</b:Last>
            <b:First>K.</b:First>
            <b:Middle>B.</b:Middle>
          </b:Person>
        </b:NameList>
      </b:Author>
    </b:Author>
    <b:Title>Researching Internet-based populations: Advantages and disadvantages of online survey research, online questionnaire authoring software packages, and web survey services</b:Title>
    <b:JournalName>Journal of computer-mediated communication</b:JournalName>
    <b:Year>2005</b:Year>
    <b:RefOrder>20</b:RefOrder>
  </b:Source>
</b:Sources>
</file>

<file path=customXml/itemProps1.xml><?xml version="1.0" encoding="utf-8"?>
<ds:datastoreItem xmlns:ds="http://schemas.openxmlformats.org/officeDocument/2006/customXml" ds:itemID="{E2BC88E7-9F02-4F4F-B8E5-AE4C8E06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147</Pages>
  <Words>57182</Words>
  <Characters>376260</Characters>
  <Application>Microsoft Office Word</Application>
  <DocSecurity>0</DocSecurity>
  <Lines>5615</Lines>
  <Paragraphs>882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Harey Vigneswaran</dc:creator>
  <cp:keywords/>
  <dc:description/>
  <cp:lastModifiedBy>Harey Vigneswaran</cp:lastModifiedBy>
  <cp:revision>3</cp:revision>
  <dcterms:created xsi:type="dcterms:W3CDTF">2025-05-02T07:58:00Z</dcterms:created>
  <dcterms:modified xsi:type="dcterms:W3CDTF">2025-06-27T09:27:00Z</dcterms:modified>
</cp:coreProperties>
</file>