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71588" w14:textId="77777777" w:rsidR="00BA232D" w:rsidRDefault="00000000">
      <w:pPr>
        <w:spacing w:before="1600"/>
        <w:jc w:val="center"/>
      </w:pPr>
      <w:r>
        <w:rPr>
          <w:b/>
          <w:color w:val="1F4E79"/>
          <w:sz w:val="26"/>
        </w:rPr>
        <w:t>Module 3: capstone Report</w:t>
      </w:r>
    </w:p>
    <w:p w14:paraId="1E71E7F0" w14:textId="77777777" w:rsidR="00BA232D" w:rsidRDefault="00000000">
      <w:pPr>
        <w:jc w:val="center"/>
      </w:pPr>
      <w:r>
        <w:t>Reinvention and Disruptive Innovation in Professional Practice</w:t>
      </w:r>
    </w:p>
    <w:p w14:paraId="12DB9A63" w14:textId="77777777" w:rsidR="00BA232D" w:rsidRDefault="00000000">
      <w:pPr>
        <w:spacing w:before="720"/>
        <w:jc w:val="center"/>
      </w:pPr>
      <w:r>
        <w:rPr>
          <w:b/>
          <w:color w:val="1F4E79"/>
          <w:sz w:val="40"/>
        </w:rPr>
        <w:t>Secretariat-in-a-Box</w:t>
      </w:r>
    </w:p>
    <w:p w14:paraId="0DBE8449" w14:textId="77777777" w:rsidR="00BA232D" w:rsidRDefault="00000000">
      <w:pPr>
        <w:jc w:val="center"/>
      </w:pPr>
      <w:r>
        <w:rPr>
          <w:sz w:val="26"/>
        </w:rPr>
        <w:t>A Locally Deployed, Document-Grounded Governance Assurance Capability for PCAD and the PIF Portfolio</w:t>
      </w:r>
    </w:p>
    <w:p w14:paraId="60E5A076" w14:textId="77777777" w:rsidR="00BA232D" w:rsidRDefault="00000000">
      <w:pPr>
        <w:spacing w:before="1000"/>
        <w:jc w:val="center"/>
      </w:pPr>
      <w:r>
        <w:rPr>
          <w:b/>
          <w:bCs/>
        </w:rPr>
        <w:t>Altaf Dossa, PhD by Portfolio</w:t>
      </w:r>
      <w:r>
        <w:rPr>
          <w:b/>
          <w:bCs/>
        </w:rPr>
        <w:br/>
      </w:r>
      <w:r>
        <w:br/>
        <w:t>Advisor, Portfolio Companies Affairs Department (PCAD)</w:t>
      </w:r>
      <w:r>
        <w:br/>
        <w:t>Acting Head, Decision Support and Strategic Insight Section</w:t>
      </w:r>
      <w:r>
        <w:br/>
      </w:r>
      <w:r>
        <w:br/>
        <w:t>Chief of Staff Division</w:t>
      </w:r>
      <w:r>
        <w:br/>
        <w:t>Public Investment Fund</w:t>
      </w:r>
      <w:r>
        <w:br/>
      </w:r>
    </w:p>
    <w:p w14:paraId="6449B4B1" w14:textId="636A3017" w:rsidR="008753EF" w:rsidRDefault="008753EF">
      <w:pPr>
        <w:spacing w:after="0" w:line="240" w:lineRule="auto"/>
      </w:pPr>
      <w:r>
        <w:br w:type="page"/>
      </w:r>
    </w:p>
    <w:sdt>
      <w:sdtPr>
        <w:rPr>
          <w:rFonts w:ascii="Arial" w:eastAsia="Arial" w:hAnsi="Arial" w:cstheme="minorBidi"/>
          <w:b w:val="0"/>
          <w:bCs w:val="0"/>
          <w:color w:val="auto"/>
          <w:sz w:val="22"/>
          <w:szCs w:val="22"/>
        </w:rPr>
        <w:id w:val="1972093705"/>
        <w:docPartObj>
          <w:docPartGallery w:val="Table of Contents"/>
          <w:docPartUnique/>
        </w:docPartObj>
      </w:sdtPr>
      <w:sdtContent>
        <w:p w14:paraId="7AA5E4BB" w14:textId="77777777" w:rsidR="00BA232D" w:rsidRDefault="00000000">
          <w:pPr>
            <w:pStyle w:val="TOCHeading"/>
          </w:pPr>
          <w:r>
            <w:t>Contents</w:t>
          </w:r>
        </w:p>
        <w:p w14:paraId="3499106C" w14:textId="21CE846E" w:rsidR="004F5761" w:rsidRDefault="00000000" w:rsidP="004F5761">
          <w:pPr>
            <w:pStyle w:val="TOC1"/>
            <w:rPr>
              <w:rFonts w:asciiTheme="minorHAnsi" w:eastAsiaTheme="minorEastAsia" w:hAnsiTheme="minorHAnsi"/>
              <w:noProof/>
              <w:kern w:val="2"/>
              <w:sz w:val="24"/>
              <w:szCs w:val="24"/>
              <w:lang w:eastAsia="en-GB"/>
              <w14:ligatures w14:val="standardContextual"/>
            </w:rPr>
          </w:pPr>
          <w:r>
            <w:fldChar w:fldCharType="begin"/>
          </w:r>
          <w:r>
            <w:rPr>
              <w:rStyle w:val="IndexLink"/>
              <w:webHidden/>
            </w:rPr>
            <w:instrText xml:space="preserve"> TOC \z \o "1-3" \u \h</w:instrText>
          </w:r>
          <w:r>
            <w:rPr>
              <w:rStyle w:val="IndexLink"/>
            </w:rPr>
            <w:fldChar w:fldCharType="separate"/>
          </w:r>
          <w:hyperlink w:anchor="_Toc234702398" w:history="1">
            <w:r w:rsidR="004F5761" w:rsidRPr="00D3148C">
              <w:rPr>
                <w:rStyle w:val="Hyperlink"/>
                <w:noProof/>
              </w:rPr>
              <w:t>Executive Summary</w:t>
            </w:r>
            <w:r w:rsidR="004F5761">
              <w:rPr>
                <w:noProof/>
                <w:webHidden/>
              </w:rPr>
              <w:tab/>
            </w:r>
            <w:r w:rsidR="004F5761">
              <w:rPr>
                <w:noProof/>
                <w:webHidden/>
              </w:rPr>
              <w:fldChar w:fldCharType="begin"/>
            </w:r>
            <w:r w:rsidR="004F5761">
              <w:rPr>
                <w:noProof/>
                <w:webHidden/>
              </w:rPr>
              <w:instrText xml:space="preserve"> PAGEREF _Toc234702398 \h </w:instrText>
            </w:r>
            <w:r w:rsidR="004F5761">
              <w:rPr>
                <w:noProof/>
                <w:webHidden/>
              </w:rPr>
            </w:r>
            <w:r w:rsidR="004F5761">
              <w:rPr>
                <w:noProof/>
                <w:webHidden/>
              </w:rPr>
              <w:fldChar w:fldCharType="separate"/>
            </w:r>
            <w:r w:rsidR="004F5761">
              <w:rPr>
                <w:noProof/>
                <w:webHidden/>
              </w:rPr>
              <w:t>3</w:t>
            </w:r>
            <w:r w:rsidR="004F5761">
              <w:rPr>
                <w:noProof/>
                <w:webHidden/>
              </w:rPr>
              <w:fldChar w:fldCharType="end"/>
            </w:r>
          </w:hyperlink>
        </w:p>
        <w:p w14:paraId="6F17E057" w14:textId="4B001231"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399" w:history="1">
            <w:r w:rsidRPr="00D3148C">
              <w:rPr>
                <w:rStyle w:val="Hyperlink"/>
                <w:noProof/>
              </w:rPr>
              <w:t>Senior Management Approval Ask</w:t>
            </w:r>
            <w:r>
              <w:rPr>
                <w:noProof/>
                <w:webHidden/>
              </w:rPr>
              <w:tab/>
            </w:r>
            <w:r>
              <w:rPr>
                <w:noProof/>
                <w:webHidden/>
              </w:rPr>
              <w:fldChar w:fldCharType="begin"/>
            </w:r>
            <w:r>
              <w:rPr>
                <w:noProof/>
                <w:webHidden/>
              </w:rPr>
              <w:instrText xml:space="preserve"> PAGEREF _Toc234702399 \h </w:instrText>
            </w:r>
            <w:r>
              <w:rPr>
                <w:noProof/>
                <w:webHidden/>
              </w:rPr>
            </w:r>
            <w:r>
              <w:rPr>
                <w:noProof/>
                <w:webHidden/>
              </w:rPr>
              <w:fldChar w:fldCharType="separate"/>
            </w:r>
            <w:r>
              <w:rPr>
                <w:noProof/>
                <w:webHidden/>
              </w:rPr>
              <w:t>4</w:t>
            </w:r>
            <w:r>
              <w:rPr>
                <w:noProof/>
                <w:webHidden/>
              </w:rPr>
              <w:fldChar w:fldCharType="end"/>
            </w:r>
          </w:hyperlink>
        </w:p>
        <w:p w14:paraId="02065309" w14:textId="4FABEDA7"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00" w:history="1">
            <w:r w:rsidRPr="00D3148C">
              <w:rPr>
                <w:rStyle w:val="Hyperlink"/>
                <w:noProof/>
              </w:rPr>
              <w:t>1. Professional Practice and Organisational Context</w:t>
            </w:r>
            <w:r>
              <w:rPr>
                <w:noProof/>
                <w:webHidden/>
              </w:rPr>
              <w:tab/>
            </w:r>
            <w:r>
              <w:rPr>
                <w:noProof/>
                <w:webHidden/>
              </w:rPr>
              <w:fldChar w:fldCharType="begin"/>
            </w:r>
            <w:r>
              <w:rPr>
                <w:noProof/>
                <w:webHidden/>
              </w:rPr>
              <w:instrText xml:space="preserve"> PAGEREF _Toc234702400 \h </w:instrText>
            </w:r>
            <w:r>
              <w:rPr>
                <w:noProof/>
                <w:webHidden/>
              </w:rPr>
            </w:r>
            <w:r>
              <w:rPr>
                <w:noProof/>
                <w:webHidden/>
              </w:rPr>
              <w:fldChar w:fldCharType="separate"/>
            </w:r>
            <w:r>
              <w:rPr>
                <w:noProof/>
                <w:webHidden/>
              </w:rPr>
              <w:t>5</w:t>
            </w:r>
            <w:r>
              <w:rPr>
                <w:noProof/>
                <w:webHidden/>
              </w:rPr>
              <w:fldChar w:fldCharType="end"/>
            </w:r>
          </w:hyperlink>
        </w:p>
        <w:p w14:paraId="47AC2343" w14:textId="69070024"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01" w:history="1">
            <w:r w:rsidRPr="00D3148C">
              <w:rPr>
                <w:rStyle w:val="Hyperlink"/>
                <w:noProof/>
              </w:rPr>
              <w:t>2. Strategic, Industry and Theoretical Context</w:t>
            </w:r>
            <w:r>
              <w:rPr>
                <w:noProof/>
                <w:webHidden/>
              </w:rPr>
              <w:tab/>
            </w:r>
            <w:r>
              <w:rPr>
                <w:noProof/>
                <w:webHidden/>
              </w:rPr>
              <w:fldChar w:fldCharType="begin"/>
            </w:r>
            <w:r>
              <w:rPr>
                <w:noProof/>
                <w:webHidden/>
              </w:rPr>
              <w:instrText xml:space="preserve"> PAGEREF _Toc234702401 \h </w:instrText>
            </w:r>
            <w:r>
              <w:rPr>
                <w:noProof/>
                <w:webHidden/>
              </w:rPr>
            </w:r>
            <w:r>
              <w:rPr>
                <w:noProof/>
                <w:webHidden/>
              </w:rPr>
              <w:fldChar w:fldCharType="separate"/>
            </w:r>
            <w:r>
              <w:rPr>
                <w:noProof/>
                <w:webHidden/>
              </w:rPr>
              <w:t>6</w:t>
            </w:r>
            <w:r>
              <w:rPr>
                <w:noProof/>
                <w:webHidden/>
              </w:rPr>
              <w:fldChar w:fldCharType="end"/>
            </w:r>
          </w:hyperlink>
        </w:p>
        <w:p w14:paraId="31D19484" w14:textId="4CFB7010"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02" w:history="1">
            <w:r w:rsidRPr="00D3148C">
              <w:rPr>
                <w:rStyle w:val="Hyperlink"/>
                <w:noProof/>
              </w:rPr>
              <w:t>2.1 Why the timing is now</w:t>
            </w:r>
            <w:r>
              <w:rPr>
                <w:noProof/>
                <w:webHidden/>
              </w:rPr>
              <w:tab/>
            </w:r>
            <w:r>
              <w:rPr>
                <w:noProof/>
                <w:webHidden/>
              </w:rPr>
              <w:fldChar w:fldCharType="begin"/>
            </w:r>
            <w:r>
              <w:rPr>
                <w:noProof/>
                <w:webHidden/>
              </w:rPr>
              <w:instrText xml:space="preserve"> PAGEREF _Toc234702402 \h </w:instrText>
            </w:r>
            <w:r>
              <w:rPr>
                <w:noProof/>
                <w:webHidden/>
              </w:rPr>
            </w:r>
            <w:r>
              <w:rPr>
                <w:noProof/>
                <w:webHidden/>
              </w:rPr>
              <w:fldChar w:fldCharType="separate"/>
            </w:r>
            <w:r>
              <w:rPr>
                <w:noProof/>
                <w:webHidden/>
              </w:rPr>
              <w:t>6</w:t>
            </w:r>
            <w:r>
              <w:rPr>
                <w:noProof/>
                <w:webHidden/>
              </w:rPr>
              <w:fldChar w:fldCharType="end"/>
            </w:r>
          </w:hyperlink>
        </w:p>
        <w:p w14:paraId="503B47E5" w14:textId="5444A0F0"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03" w:history="1">
            <w:r w:rsidRPr="00D3148C">
              <w:rPr>
                <w:rStyle w:val="Hyperlink"/>
                <w:noProof/>
              </w:rPr>
              <w:t>2.2 Disruptive innovation lens</w:t>
            </w:r>
            <w:r>
              <w:rPr>
                <w:noProof/>
                <w:webHidden/>
              </w:rPr>
              <w:tab/>
            </w:r>
            <w:r>
              <w:rPr>
                <w:noProof/>
                <w:webHidden/>
              </w:rPr>
              <w:fldChar w:fldCharType="begin"/>
            </w:r>
            <w:r>
              <w:rPr>
                <w:noProof/>
                <w:webHidden/>
              </w:rPr>
              <w:instrText xml:space="preserve"> PAGEREF _Toc234702403 \h </w:instrText>
            </w:r>
            <w:r>
              <w:rPr>
                <w:noProof/>
                <w:webHidden/>
              </w:rPr>
            </w:r>
            <w:r>
              <w:rPr>
                <w:noProof/>
                <w:webHidden/>
              </w:rPr>
              <w:fldChar w:fldCharType="separate"/>
            </w:r>
            <w:r>
              <w:rPr>
                <w:noProof/>
                <w:webHidden/>
              </w:rPr>
              <w:t>6</w:t>
            </w:r>
            <w:r>
              <w:rPr>
                <w:noProof/>
                <w:webHidden/>
              </w:rPr>
              <w:fldChar w:fldCharType="end"/>
            </w:r>
          </w:hyperlink>
        </w:p>
        <w:p w14:paraId="0D420206" w14:textId="6E670FFF"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04" w:history="1">
            <w:r w:rsidRPr="00D3148C">
              <w:rPr>
                <w:rStyle w:val="Hyperlink"/>
                <w:noProof/>
              </w:rPr>
              <w:t>2.3 Capability, strategy and adoption theory</w:t>
            </w:r>
            <w:r>
              <w:rPr>
                <w:noProof/>
                <w:webHidden/>
              </w:rPr>
              <w:tab/>
            </w:r>
            <w:r>
              <w:rPr>
                <w:noProof/>
                <w:webHidden/>
              </w:rPr>
              <w:fldChar w:fldCharType="begin"/>
            </w:r>
            <w:r>
              <w:rPr>
                <w:noProof/>
                <w:webHidden/>
              </w:rPr>
              <w:instrText xml:space="preserve"> PAGEREF _Toc234702404 \h </w:instrText>
            </w:r>
            <w:r>
              <w:rPr>
                <w:noProof/>
                <w:webHidden/>
              </w:rPr>
            </w:r>
            <w:r>
              <w:rPr>
                <w:noProof/>
                <w:webHidden/>
              </w:rPr>
              <w:fldChar w:fldCharType="separate"/>
            </w:r>
            <w:r>
              <w:rPr>
                <w:noProof/>
                <w:webHidden/>
              </w:rPr>
              <w:t>7</w:t>
            </w:r>
            <w:r>
              <w:rPr>
                <w:noProof/>
                <w:webHidden/>
              </w:rPr>
              <w:fldChar w:fldCharType="end"/>
            </w:r>
          </w:hyperlink>
        </w:p>
        <w:p w14:paraId="38544DE3" w14:textId="0C92D13D"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05" w:history="1">
            <w:r w:rsidRPr="00D3148C">
              <w:rPr>
                <w:rStyle w:val="Hyperlink"/>
                <w:noProof/>
              </w:rPr>
              <w:t>3. Critical Diagnosis: Why the Current Secretariat Model Is Fragile</w:t>
            </w:r>
            <w:r>
              <w:rPr>
                <w:noProof/>
                <w:webHidden/>
              </w:rPr>
              <w:tab/>
            </w:r>
            <w:r>
              <w:rPr>
                <w:noProof/>
                <w:webHidden/>
              </w:rPr>
              <w:fldChar w:fldCharType="begin"/>
            </w:r>
            <w:r>
              <w:rPr>
                <w:noProof/>
                <w:webHidden/>
              </w:rPr>
              <w:instrText xml:space="preserve"> PAGEREF _Toc234702405 \h </w:instrText>
            </w:r>
            <w:r>
              <w:rPr>
                <w:noProof/>
                <w:webHidden/>
              </w:rPr>
            </w:r>
            <w:r>
              <w:rPr>
                <w:noProof/>
                <w:webHidden/>
              </w:rPr>
              <w:fldChar w:fldCharType="separate"/>
            </w:r>
            <w:r>
              <w:rPr>
                <w:noProof/>
                <w:webHidden/>
              </w:rPr>
              <w:t>8</w:t>
            </w:r>
            <w:r>
              <w:rPr>
                <w:noProof/>
                <w:webHidden/>
              </w:rPr>
              <w:fldChar w:fldCharType="end"/>
            </w:r>
          </w:hyperlink>
        </w:p>
        <w:p w14:paraId="153CCFAA" w14:textId="62BCA7F0"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06" w:history="1">
            <w:r w:rsidRPr="00D3148C">
              <w:rPr>
                <w:rStyle w:val="Hyperlink"/>
                <w:noProof/>
              </w:rPr>
              <w:t>4. Options and Alternative Approaches</w:t>
            </w:r>
            <w:r>
              <w:rPr>
                <w:noProof/>
                <w:webHidden/>
              </w:rPr>
              <w:tab/>
            </w:r>
            <w:r>
              <w:rPr>
                <w:noProof/>
                <w:webHidden/>
              </w:rPr>
              <w:fldChar w:fldCharType="begin"/>
            </w:r>
            <w:r>
              <w:rPr>
                <w:noProof/>
                <w:webHidden/>
              </w:rPr>
              <w:instrText xml:space="preserve"> PAGEREF _Toc234702406 \h </w:instrText>
            </w:r>
            <w:r>
              <w:rPr>
                <w:noProof/>
                <w:webHidden/>
              </w:rPr>
            </w:r>
            <w:r>
              <w:rPr>
                <w:noProof/>
                <w:webHidden/>
              </w:rPr>
              <w:fldChar w:fldCharType="separate"/>
            </w:r>
            <w:r>
              <w:rPr>
                <w:noProof/>
                <w:webHidden/>
              </w:rPr>
              <w:t>10</w:t>
            </w:r>
            <w:r>
              <w:rPr>
                <w:noProof/>
                <w:webHidden/>
              </w:rPr>
              <w:fldChar w:fldCharType="end"/>
            </w:r>
          </w:hyperlink>
        </w:p>
        <w:p w14:paraId="58F76A33" w14:textId="2583F8D0"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07" w:history="1">
            <w:r w:rsidRPr="00D3148C">
              <w:rPr>
                <w:rStyle w:val="Hyperlink"/>
                <w:noProof/>
              </w:rPr>
              <w:t>4.1 Option A: Secretariat academy, mentoring and templates</w:t>
            </w:r>
            <w:r>
              <w:rPr>
                <w:noProof/>
                <w:webHidden/>
              </w:rPr>
              <w:tab/>
            </w:r>
            <w:r>
              <w:rPr>
                <w:noProof/>
                <w:webHidden/>
              </w:rPr>
              <w:fldChar w:fldCharType="begin"/>
            </w:r>
            <w:r>
              <w:rPr>
                <w:noProof/>
                <w:webHidden/>
              </w:rPr>
              <w:instrText xml:space="preserve"> PAGEREF _Toc234702407 \h </w:instrText>
            </w:r>
            <w:r>
              <w:rPr>
                <w:noProof/>
                <w:webHidden/>
              </w:rPr>
            </w:r>
            <w:r>
              <w:rPr>
                <w:noProof/>
                <w:webHidden/>
              </w:rPr>
              <w:fldChar w:fldCharType="separate"/>
            </w:r>
            <w:r>
              <w:rPr>
                <w:noProof/>
                <w:webHidden/>
              </w:rPr>
              <w:t>10</w:t>
            </w:r>
            <w:r>
              <w:rPr>
                <w:noProof/>
                <w:webHidden/>
              </w:rPr>
              <w:fldChar w:fldCharType="end"/>
            </w:r>
          </w:hyperlink>
        </w:p>
        <w:p w14:paraId="26B1FE45" w14:textId="6D48CD31"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08" w:history="1">
            <w:r w:rsidRPr="00D3148C">
              <w:rPr>
                <w:rStyle w:val="Hyperlink"/>
                <w:noProof/>
              </w:rPr>
              <w:t>4.2 Option B: Central shared secretariat service</w:t>
            </w:r>
            <w:r>
              <w:rPr>
                <w:noProof/>
                <w:webHidden/>
              </w:rPr>
              <w:tab/>
            </w:r>
            <w:r>
              <w:rPr>
                <w:noProof/>
                <w:webHidden/>
              </w:rPr>
              <w:fldChar w:fldCharType="begin"/>
            </w:r>
            <w:r>
              <w:rPr>
                <w:noProof/>
                <w:webHidden/>
              </w:rPr>
              <w:instrText xml:space="preserve"> PAGEREF _Toc234702408 \h </w:instrText>
            </w:r>
            <w:r>
              <w:rPr>
                <w:noProof/>
                <w:webHidden/>
              </w:rPr>
            </w:r>
            <w:r>
              <w:rPr>
                <w:noProof/>
                <w:webHidden/>
              </w:rPr>
              <w:fldChar w:fldCharType="separate"/>
            </w:r>
            <w:r>
              <w:rPr>
                <w:noProof/>
                <w:webHidden/>
              </w:rPr>
              <w:t>10</w:t>
            </w:r>
            <w:r>
              <w:rPr>
                <w:noProof/>
                <w:webHidden/>
              </w:rPr>
              <w:fldChar w:fldCharType="end"/>
            </w:r>
          </w:hyperlink>
        </w:p>
        <w:p w14:paraId="15746B72" w14:textId="7484C1D1"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09" w:history="1">
            <w:r w:rsidRPr="00D3148C">
              <w:rPr>
                <w:rStyle w:val="Hyperlink"/>
                <w:noProof/>
              </w:rPr>
              <w:t>4.3 Option C: Secretariat-in-a-Box</w:t>
            </w:r>
            <w:r>
              <w:rPr>
                <w:noProof/>
                <w:webHidden/>
              </w:rPr>
              <w:tab/>
            </w:r>
            <w:r>
              <w:rPr>
                <w:noProof/>
                <w:webHidden/>
              </w:rPr>
              <w:fldChar w:fldCharType="begin"/>
            </w:r>
            <w:r>
              <w:rPr>
                <w:noProof/>
                <w:webHidden/>
              </w:rPr>
              <w:instrText xml:space="preserve"> PAGEREF _Toc234702409 \h </w:instrText>
            </w:r>
            <w:r>
              <w:rPr>
                <w:noProof/>
                <w:webHidden/>
              </w:rPr>
            </w:r>
            <w:r>
              <w:rPr>
                <w:noProof/>
                <w:webHidden/>
              </w:rPr>
              <w:fldChar w:fldCharType="separate"/>
            </w:r>
            <w:r>
              <w:rPr>
                <w:noProof/>
                <w:webHidden/>
              </w:rPr>
              <w:t>10</w:t>
            </w:r>
            <w:r>
              <w:rPr>
                <w:noProof/>
                <w:webHidden/>
              </w:rPr>
              <w:fldChar w:fldCharType="end"/>
            </w:r>
          </w:hyperlink>
        </w:p>
        <w:p w14:paraId="2E4AA7BE" w14:textId="0C29F580"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10" w:history="1">
            <w:r w:rsidRPr="00D3148C">
              <w:rPr>
                <w:rStyle w:val="Hyperlink"/>
                <w:noProof/>
              </w:rPr>
              <w:t>5. Recommended Approach: Secretariat-in-a-Box</w:t>
            </w:r>
            <w:r>
              <w:rPr>
                <w:noProof/>
                <w:webHidden/>
              </w:rPr>
              <w:tab/>
            </w:r>
            <w:r>
              <w:rPr>
                <w:noProof/>
                <w:webHidden/>
              </w:rPr>
              <w:fldChar w:fldCharType="begin"/>
            </w:r>
            <w:r>
              <w:rPr>
                <w:noProof/>
                <w:webHidden/>
              </w:rPr>
              <w:instrText xml:space="preserve"> PAGEREF _Toc234702410 \h </w:instrText>
            </w:r>
            <w:r>
              <w:rPr>
                <w:noProof/>
                <w:webHidden/>
              </w:rPr>
            </w:r>
            <w:r>
              <w:rPr>
                <w:noProof/>
                <w:webHidden/>
              </w:rPr>
              <w:fldChar w:fldCharType="separate"/>
            </w:r>
            <w:r>
              <w:rPr>
                <w:noProof/>
                <w:webHidden/>
              </w:rPr>
              <w:t>11</w:t>
            </w:r>
            <w:r>
              <w:rPr>
                <w:noProof/>
                <w:webHidden/>
              </w:rPr>
              <w:fldChar w:fldCharType="end"/>
            </w:r>
          </w:hyperlink>
        </w:p>
        <w:p w14:paraId="0111E7C3" w14:textId="031F0113"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11" w:history="1">
            <w:r w:rsidRPr="00D3148C">
              <w:rPr>
                <w:rStyle w:val="Hyperlink"/>
                <w:noProof/>
              </w:rPr>
              <w:t>5.1 Product purpose and non-goals</w:t>
            </w:r>
            <w:r>
              <w:rPr>
                <w:noProof/>
                <w:webHidden/>
              </w:rPr>
              <w:tab/>
            </w:r>
            <w:r>
              <w:rPr>
                <w:noProof/>
                <w:webHidden/>
              </w:rPr>
              <w:fldChar w:fldCharType="begin"/>
            </w:r>
            <w:r>
              <w:rPr>
                <w:noProof/>
                <w:webHidden/>
              </w:rPr>
              <w:instrText xml:space="preserve"> PAGEREF _Toc234702411 \h </w:instrText>
            </w:r>
            <w:r>
              <w:rPr>
                <w:noProof/>
                <w:webHidden/>
              </w:rPr>
            </w:r>
            <w:r>
              <w:rPr>
                <w:noProof/>
                <w:webHidden/>
              </w:rPr>
              <w:fldChar w:fldCharType="separate"/>
            </w:r>
            <w:r>
              <w:rPr>
                <w:noProof/>
                <w:webHidden/>
              </w:rPr>
              <w:t>11</w:t>
            </w:r>
            <w:r>
              <w:rPr>
                <w:noProof/>
                <w:webHidden/>
              </w:rPr>
              <w:fldChar w:fldCharType="end"/>
            </w:r>
          </w:hyperlink>
        </w:p>
        <w:p w14:paraId="26F4DF1C" w14:textId="53816CB7"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12" w:history="1">
            <w:r w:rsidRPr="00D3148C">
              <w:rPr>
                <w:rStyle w:val="Hyperlink"/>
                <w:noProof/>
              </w:rPr>
              <w:t>5.2 Meeting lifecycle use cases</w:t>
            </w:r>
            <w:r>
              <w:rPr>
                <w:noProof/>
                <w:webHidden/>
              </w:rPr>
              <w:tab/>
            </w:r>
            <w:r>
              <w:rPr>
                <w:noProof/>
                <w:webHidden/>
              </w:rPr>
              <w:fldChar w:fldCharType="begin"/>
            </w:r>
            <w:r>
              <w:rPr>
                <w:noProof/>
                <w:webHidden/>
              </w:rPr>
              <w:instrText xml:space="preserve"> PAGEREF _Toc234702412 \h </w:instrText>
            </w:r>
            <w:r>
              <w:rPr>
                <w:noProof/>
                <w:webHidden/>
              </w:rPr>
            </w:r>
            <w:r>
              <w:rPr>
                <w:noProof/>
                <w:webHidden/>
              </w:rPr>
              <w:fldChar w:fldCharType="separate"/>
            </w:r>
            <w:r>
              <w:rPr>
                <w:noProof/>
                <w:webHidden/>
              </w:rPr>
              <w:t>11</w:t>
            </w:r>
            <w:r>
              <w:rPr>
                <w:noProof/>
                <w:webHidden/>
              </w:rPr>
              <w:fldChar w:fldCharType="end"/>
            </w:r>
          </w:hyperlink>
        </w:p>
        <w:p w14:paraId="1B2002A7" w14:textId="25C006B8"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13" w:history="1">
            <w:r w:rsidRPr="00D3148C">
              <w:rPr>
                <w:rStyle w:val="Hyperlink"/>
                <w:noProof/>
              </w:rPr>
              <w:t>5.3 Platform architecture</w:t>
            </w:r>
            <w:r>
              <w:rPr>
                <w:noProof/>
                <w:webHidden/>
              </w:rPr>
              <w:tab/>
            </w:r>
            <w:r>
              <w:rPr>
                <w:noProof/>
                <w:webHidden/>
              </w:rPr>
              <w:fldChar w:fldCharType="begin"/>
            </w:r>
            <w:r>
              <w:rPr>
                <w:noProof/>
                <w:webHidden/>
              </w:rPr>
              <w:instrText xml:space="preserve"> PAGEREF _Toc234702413 \h </w:instrText>
            </w:r>
            <w:r>
              <w:rPr>
                <w:noProof/>
                <w:webHidden/>
              </w:rPr>
            </w:r>
            <w:r>
              <w:rPr>
                <w:noProof/>
                <w:webHidden/>
              </w:rPr>
              <w:fldChar w:fldCharType="separate"/>
            </w:r>
            <w:r>
              <w:rPr>
                <w:noProof/>
                <w:webHidden/>
              </w:rPr>
              <w:t>12</w:t>
            </w:r>
            <w:r>
              <w:rPr>
                <w:noProof/>
                <w:webHidden/>
              </w:rPr>
              <w:fldChar w:fldCharType="end"/>
            </w:r>
          </w:hyperlink>
        </w:p>
        <w:p w14:paraId="3612789A" w14:textId="59958E51"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14" w:history="1">
            <w:r w:rsidRPr="00D3148C">
              <w:rPr>
                <w:rStyle w:val="Hyperlink"/>
                <w:noProof/>
              </w:rPr>
              <w:t>5.4 The disruptive change in professional practice</w:t>
            </w:r>
            <w:r>
              <w:rPr>
                <w:noProof/>
                <w:webHidden/>
              </w:rPr>
              <w:tab/>
            </w:r>
            <w:r>
              <w:rPr>
                <w:noProof/>
                <w:webHidden/>
              </w:rPr>
              <w:fldChar w:fldCharType="begin"/>
            </w:r>
            <w:r>
              <w:rPr>
                <w:noProof/>
                <w:webHidden/>
              </w:rPr>
              <w:instrText xml:space="preserve"> PAGEREF _Toc234702414 \h </w:instrText>
            </w:r>
            <w:r>
              <w:rPr>
                <w:noProof/>
                <w:webHidden/>
              </w:rPr>
            </w:r>
            <w:r>
              <w:rPr>
                <w:noProof/>
                <w:webHidden/>
              </w:rPr>
              <w:fldChar w:fldCharType="separate"/>
            </w:r>
            <w:r>
              <w:rPr>
                <w:noProof/>
                <w:webHidden/>
              </w:rPr>
              <w:t>12</w:t>
            </w:r>
            <w:r>
              <w:rPr>
                <w:noProof/>
                <w:webHidden/>
              </w:rPr>
              <w:fldChar w:fldCharType="end"/>
            </w:r>
          </w:hyperlink>
        </w:p>
        <w:p w14:paraId="7DA9896A" w14:textId="5BF29E40"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15" w:history="1">
            <w:r w:rsidRPr="00D3148C">
              <w:rPr>
                <w:rStyle w:val="Hyperlink"/>
                <w:noProof/>
              </w:rPr>
              <w:t>6. Implementation and Application</w:t>
            </w:r>
            <w:r>
              <w:rPr>
                <w:noProof/>
                <w:webHidden/>
              </w:rPr>
              <w:tab/>
            </w:r>
            <w:r>
              <w:rPr>
                <w:noProof/>
                <w:webHidden/>
              </w:rPr>
              <w:fldChar w:fldCharType="begin"/>
            </w:r>
            <w:r>
              <w:rPr>
                <w:noProof/>
                <w:webHidden/>
              </w:rPr>
              <w:instrText xml:space="preserve"> PAGEREF _Toc234702415 \h </w:instrText>
            </w:r>
            <w:r>
              <w:rPr>
                <w:noProof/>
                <w:webHidden/>
              </w:rPr>
            </w:r>
            <w:r>
              <w:rPr>
                <w:noProof/>
                <w:webHidden/>
              </w:rPr>
              <w:fldChar w:fldCharType="separate"/>
            </w:r>
            <w:r>
              <w:rPr>
                <w:noProof/>
                <w:webHidden/>
              </w:rPr>
              <w:t>13</w:t>
            </w:r>
            <w:r>
              <w:rPr>
                <w:noProof/>
                <w:webHidden/>
              </w:rPr>
              <w:fldChar w:fldCharType="end"/>
            </w:r>
          </w:hyperlink>
        </w:p>
        <w:p w14:paraId="6C09AB61" w14:textId="7D712D5D"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16" w:history="1">
            <w:r w:rsidRPr="00D3148C">
              <w:rPr>
                <w:rStyle w:val="Hyperlink"/>
                <w:noProof/>
              </w:rPr>
              <w:t>6.1 Pilot design</w:t>
            </w:r>
            <w:r>
              <w:rPr>
                <w:noProof/>
                <w:webHidden/>
              </w:rPr>
              <w:tab/>
            </w:r>
            <w:r>
              <w:rPr>
                <w:noProof/>
                <w:webHidden/>
              </w:rPr>
              <w:fldChar w:fldCharType="begin"/>
            </w:r>
            <w:r>
              <w:rPr>
                <w:noProof/>
                <w:webHidden/>
              </w:rPr>
              <w:instrText xml:space="preserve"> PAGEREF _Toc234702416 \h </w:instrText>
            </w:r>
            <w:r>
              <w:rPr>
                <w:noProof/>
                <w:webHidden/>
              </w:rPr>
            </w:r>
            <w:r>
              <w:rPr>
                <w:noProof/>
                <w:webHidden/>
              </w:rPr>
              <w:fldChar w:fldCharType="separate"/>
            </w:r>
            <w:r>
              <w:rPr>
                <w:noProof/>
                <w:webHidden/>
              </w:rPr>
              <w:t>13</w:t>
            </w:r>
            <w:r>
              <w:rPr>
                <w:noProof/>
                <w:webHidden/>
              </w:rPr>
              <w:fldChar w:fldCharType="end"/>
            </w:r>
          </w:hyperlink>
        </w:p>
        <w:p w14:paraId="4A009C74" w14:textId="1109B4FD"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17" w:history="1">
            <w:r w:rsidRPr="00D3148C">
              <w:rPr>
                <w:rStyle w:val="Hyperlink"/>
                <w:noProof/>
              </w:rPr>
              <w:t>6.2 Operating model and accountabilities</w:t>
            </w:r>
            <w:r>
              <w:rPr>
                <w:noProof/>
                <w:webHidden/>
              </w:rPr>
              <w:tab/>
            </w:r>
            <w:r>
              <w:rPr>
                <w:noProof/>
                <w:webHidden/>
              </w:rPr>
              <w:fldChar w:fldCharType="begin"/>
            </w:r>
            <w:r>
              <w:rPr>
                <w:noProof/>
                <w:webHidden/>
              </w:rPr>
              <w:instrText xml:space="preserve"> PAGEREF _Toc234702417 \h </w:instrText>
            </w:r>
            <w:r>
              <w:rPr>
                <w:noProof/>
                <w:webHidden/>
              </w:rPr>
            </w:r>
            <w:r>
              <w:rPr>
                <w:noProof/>
                <w:webHidden/>
              </w:rPr>
              <w:fldChar w:fldCharType="separate"/>
            </w:r>
            <w:r>
              <w:rPr>
                <w:noProof/>
                <w:webHidden/>
              </w:rPr>
              <w:t>13</w:t>
            </w:r>
            <w:r>
              <w:rPr>
                <w:noProof/>
                <w:webHidden/>
              </w:rPr>
              <w:fldChar w:fldCharType="end"/>
            </w:r>
          </w:hyperlink>
        </w:p>
        <w:p w14:paraId="147EDD7E" w14:textId="59909F22"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18" w:history="1">
            <w:r w:rsidRPr="00D3148C">
              <w:rPr>
                <w:rStyle w:val="Hyperlink"/>
                <w:noProof/>
              </w:rPr>
              <w:t>7. Measures, Risks, Governance and Ethics</w:t>
            </w:r>
            <w:r>
              <w:rPr>
                <w:noProof/>
                <w:webHidden/>
              </w:rPr>
              <w:tab/>
            </w:r>
            <w:r>
              <w:rPr>
                <w:noProof/>
                <w:webHidden/>
              </w:rPr>
              <w:fldChar w:fldCharType="begin"/>
            </w:r>
            <w:r>
              <w:rPr>
                <w:noProof/>
                <w:webHidden/>
              </w:rPr>
              <w:instrText xml:space="preserve"> PAGEREF _Toc234702418 \h </w:instrText>
            </w:r>
            <w:r>
              <w:rPr>
                <w:noProof/>
                <w:webHidden/>
              </w:rPr>
            </w:r>
            <w:r>
              <w:rPr>
                <w:noProof/>
                <w:webHidden/>
              </w:rPr>
              <w:fldChar w:fldCharType="separate"/>
            </w:r>
            <w:r>
              <w:rPr>
                <w:noProof/>
                <w:webHidden/>
              </w:rPr>
              <w:t>15</w:t>
            </w:r>
            <w:r>
              <w:rPr>
                <w:noProof/>
                <w:webHidden/>
              </w:rPr>
              <w:fldChar w:fldCharType="end"/>
            </w:r>
          </w:hyperlink>
        </w:p>
        <w:p w14:paraId="6203EBF6" w14:textId="52837556"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19" w:history="1">
            <w:r w:rsidRPr="00D3148C">
              <w:rPr>
                <w:rStyle w:val="Hyperlink"/>
                <w:noProof/>
              </w:rPr>
              <w:t>7.1 Governance of the AI system</w:t>
            </w:r>
            <w:r>
              <w:rPr>
                <w:noProof/>
                <w:webHidden/>
              </w:rPr>
              <w:tab/>
            </w:r>
            <w:r>
              <w:rPr>
                <w:noProof/>
                <w:webHidden/>
              </w:rPr>
              <w:fldChar w:fldCharType="begin"/>
            </w:r>
            <w:r>
              <w:rPr>
                <w:noProof/>
                <w:webHidden/>
              </w:rPr>
              <w:instrText xml:space="preserve"> PAGEREF _Toc234702419 \h </w:instrText>
            </w:r>
            <w:r>
              <w:rPr>
                <w:noProof/>
                <w:webHidden/>
              </w:rPr>
            </w:r>
            <w:r>
              <w:rPr>
                <w:noProof/>
                <w:webHidden/>
              </w:rPr>
              <w:fldChar w:fldCharType="separate"/>
            </w:r>
            <w:r>
              <w:rPr>
                <w:noProof/>
                <w:webHidden/>
              </w:rPr>
              <w:t>16</w:t>
            </w:r>
            <w:r>
              <w:rPr>
                <w:noProof/>
                <w:webHidden/>
              </w:rPr>
              <w:fldChar w:fldCharType="end"/>
            </w:r>
          </w:hyperlink>
        </w:p>
        <w:p w14:paraId="4B801741" w14:textId="6720BC86"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20" w:history="1">
            <w:r w:rsidRPr="00D3148C">
              <w:rPr>
                <w:rStyle w:val="Hyperlink"/>
                <w:noProof/>
              </w:rPr>
              <w:t>8. Leadership, Culture, Capability and Stakeholder Reactions</w:t>
            </w:r>
            <w:r>
              <w:rPr>
                <w:noProof/>
                <w:webHidden/>
              </w:rPr>
              <w:tab/>
            </w:r>
            <w:r>
              <w:rPr>
                <w:noProof/>
                <w:webHidden/>
              </w:rPr>
              <w:fldChar w:fldCharType="begin"/>
            </w:r>
            <w:r>
              <w:rPr>
                <w:noProof/>
                <w:webHidden/>
              </w:rPr>
              <w:instrText xml:space="preserve"> PAGEREF _Toc234702420 \h </w:instrText>
            </w:r>
            <w:r>
              <w:rPr>
                <w:noProof/>
                <w:webHidden/>
              </w:rPr>
            </w:r>
            <w:r>
              <w:rPr>
                <w:noProof/>
                <w:webHidden/>
              </w:rPr>
              <w:fldChar w:fldCharType="separate"/>
            </w:r>
            <w:r>
              <w:rPr>
                <w:noProof/>
                <w:webHidden/>
              </w:rPr>
              <w:t>17</w:t>
            </w:r>
            <w:r>
              <w:rPr>
                <w:noProof/>
                <w:webHidden/>
              </w:rPr>
              <w:fldChar w:fldCharType="end"/>
            </w:r>
          </w:hyperlink>
        </w:p>
        <w:p w14:paraId="0C08FF1E" w14:textId="42E4BB3A"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21" w:history="1">
            <w:r w:rsidRPr="00D3148C">
              <w:rPr>
                <w:rStyle w:val="Hyperlink"/>
                <w:noProof/>
              </w:rPr>
              <w:t>8.1 Chairperson, CEO and PCAD vantage points</w:t>
            </w:r>
            <w:r>
              <w:rPr>
                <w:noProof/>
                <w:webHidden/>
              </w:rPr>
              <w:tab/>
            </w:r>
            <w:r>
              <w:rPr>
                <w:noProof/>
                <w:webHidden/>
              </w:rPr>
              <w:fldChar w:fldCharType="begin"/>
            </w:r>
            <w:r>
              <w:rPr>
                <w:noProof/>
                <w:webHidden/>
              </w:rPr>
              <w:instrText xml:space="preserve"> PAGEREF _Toc234702421 \h </w:instrText>
            </w:r>
            <w:r>
              <w:rPr>
                <w:noProof/>
                <w:webHidden/>
              </w:rPr>
            </w:r>
            <w:r>
              <w:rPr>
                <w:noProof/>
                <w:webHidden/>
              </w:rPr>
              <w:fldChar w:fldCharType="separate"/>
            </w:r>
            <w:r>
              <w:rPr>
                <w:noProof/>
                <w:webHidden/>
              </w:rPr>
              <w:t>18</w:t>
            </w:r>
            <w:r>
              <w:rPr>
                <w:noProof/>
                <w:webHidden/>
              </w:rPr>
              <w:fldChar w:fldCharType="end"/>
            </w:r>
          </w:hyperlink>
        </w:p>
        <w:p w14:paraId="502FE7F5" w14:textId="0DA32BA1" w:rsidR="004F5761" w:rsidRDefault="004F5761" w:rsidP="004F5761">
          <w:pPr>
            <w:pStyle w:val="TOC3"/>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22" w:history="1">
            <w:r w:rsidRPr="00D3148C">
              <w:rPr>
                <w:rStyle w:val="Hyperlink"/>
                <w:noProof/>
              </w:rPr>
              <w:t>Chairperson vantage point</w:t>
            </w:r>
            <w:r>
              <w:rPr>
                <w:noProof/>
                <w:webHidden/>
              </w:rPr>
              <w:tab/>
            </w:r>
            <w:r>
              <w:rPr>
                <w:noProof/>
                <w:webHidden/>
              </w:rPr>
              <w:fldChar w:fldCharType="begin"/>
            </w:r>
            <w:r>
              <w:rPr>
                <w:noProof/>
                <w:webHidden/>
              </w:rPr>
              <w:instrText xml:space="preserve"> PAGEREF _Toc234702422 \h </w:instrText>
            </w:r>
            <w:r>
              <w:rPr>
                <w:noProof/>
                <w:webHidden/>
              </w:rPr>
            </w:r>
            <w:r>
              <w:rPr>
                <w:noProof/>
                <w:webHidden/>
              </w:rPr>
              <w:fldChar w:fldCharType="separate"/>
            </w:r>
            <w:r>
              <w:rPr>
                <w:noProof/>
                <w:webHidden/>
              </w:rPr>
              <w:t>18</w:t>
            </w:r>
            <w:r>
              <w:rPr>
                <w:noProof/>
                <w:webHidden/>
              </w:rPr>
              <w:fldChar w:fldCharType="end"/>
            </w:r>
          </w:hyperlink>
        </w:p>
        <w:p w14:paraId="58E27579" w14:textId="31416E13" w:rsidR="004F5761" w:rsidRDefault="004F5761" w:rsidP="004F5761">
          <w:pPr>
            <w:pStyle w:val="TOC3"/>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23" w:history="1">
            <w:r w:rsidRPr="00D3148C">
              <w:rPr>
                <w:rStyle w:val="Hyperlink"/>
                <w:noProof/>
              </w:rPr>
              <w:t>CEO vantage point</w:t>
            </w:r>
            <w:r>
              <w:rPr>
                <w:noProof/>
                <w:webHidden/>
              </w:rPr>
              <w:tab/>
            </w:r>
            <w:r>
              <w:rPr>
                <w:noProof/>
                <w:webHidden/>
              </w:rPr>
              <w:fldChar w:fldCharType="begin"/>
            </w:r>
            <w:r>
              <w:rPr>
                <w:noProof/>
                <w:webHidden/>
              </w:rPr>
              <w:instrText xml:space="preserve"> PAGEREF _Toc234702423 \h </w:instrText>
            </w:r>
            <w:r>
              <w:rPr>
                <w:noProof/>
                <w:webHidden/>
              </w:rPr>
            </w:r>
            <w:r>
              <w:rPr>
                <w:noProof/>
                <w:webHidden/>
              </w:rPr>
              <w:fldChar w:fldCharType="separate"/>
            </w:r>
            <w:r>
              <w:rPr>
                <w:noProof/>
                <w:webHidden/>
              </w:rPr>
              <w:t>18</w:t>
            </w:r>
            <w:r>
              <w:rPr>
                <w:noProof/>
                <w:webHidden/>
              </w:rPr>
              <w:fldChar w:fldCharType="end"/>
            </w:r>
          </w:hyperlink>
        </w:p>
        <w:p w14:paraId="02C18A23" w14:textId="4E886D98" w:rsidR="004F5761" w:rsidRDefault="004F5761" w:rsidP="004F5761">
          <w:pPr>
            <w:pStyle w:val="TOC3"/>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24" w:history="1">
            <w:r w:rsidRPr="00D3148C">
              <w:rPr>
                <w:rStyle w:val="Hyperlink"/>
                <w:noProof/>
              </w:rPr>
              <w:t>PCAD vantage point as guardian of good corporate governance</w:t>
            </w:r>
            <w:r>
              <w:rPr>
                <w:noProof/>
                <w:webHidden/>
              </w:rPr>
              <w:tab/>
            </w:r>
            <w:r>
              <w:rPr>
                <w:noProof/>
                <w:webHidden/>
              </w:rPr>
              <w:fldChar w:fldCharType="begin"/>
            </w:r>
            <w:r>
              <w:rPr>
                <w:noProof/>
                <w:webHidden/>
              </w:rPr>
              <w:instrText xml:space="preserve"> PAGEREF _Toc234702424 \h </w:instrText>
            </w:r>
            <w:r>
              <w:rPr>
                <w:noProof/>
                <w:webHidden/>
              </w:rPr>
            </w:r>
            <w:r>
              <w:rPr>
                <w:noProof/>
                <w:webHidden/>
              </w:rPr>
              <w:fldChar w:fldCharType="separate"/>
            </w:r>
            <w:r>
              <w:rPr>
                <w:noProof/>
                <w:webHidden/>
              </w:rPr>
              <w:t>18</w:t>
            </w:r>
            <w:r>
              <w:rPr>
                <w:noProof/>
                <w:webHidden/>
              </w:rPr>
              <w:fldChar w:fldCharType="end"/>
            </w:r>
          </w:hyperlink>
        </w:p>
        <w:p w14:paraId="55DD18C3" w14:textId="7765CD22" w:rsidR="004F5761" w:rsidRDefault="004F5761" w:rsidP="004F5761">
          <w:pPr>
            <w:pStyle w:val="TOC3"/>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25" w:history="1">
            <w:r w:rsidRPr="00D3148C">
              <w:rPr>
                <w:rStyle w:val="Hyperlink"/>
                <w:noProof/>
              </w:rPr>
              <w:t>Implication for the proposal</w:t>
            </w:r>
            <w:r>
              <w:rPr>
                <w:noProof/>
                <w:webHidden/>
              </w:rPr>
              <w:tab/>
            </w:r>
            <w:r>
              <w:rPr>
                <w:noProof/>
                <w:webHidden/>
              </w:rPr>
              <w:fldChar w:fldCharType="begin"/>
            </w:r>
            <w:r>
              <w:rPr>
                <w:noProof/>
                <w:webHidden/>
              </w:rPr>
              <w:instrText xml:space="preserve"> PAGEREF _Toc234702425 \h </w:instrText>
            </w:r>
            <w:r>
              <w:rPr>
                <w:noProof/>
                <w:webHidden/>
              </w:rPr>
            </w:r>
            <w:r>
              <w:rPr>
                <w:noProof/>
                <w:webHidden/>
              </w:rPr>
              <w:fldChar w:fldCharType="separate"/>
            </w:r>
            <w:r>
              <w:rPr>
                <w:noProof/>
                <w:webHidden/>
              </w:rPr>
              <w:t>18</w:t>
            </w:r>
            <w:r>
              <w:rPr>
                <w:noProof/>
                <w:webHidden/>
              </w:rPr>
              <w:fldChar w:fldCharType="end"/>
            </w:r>
          </w:hyperlink>
        </w:p>
        <w:p w14:paraId="1E0BC597" w14:textId="78F9586F"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26" w:history="1">
            <w:r w:rsidRPr="00D3148C">
              <w:rPr>
                <w:rStyle w:val="Hyperlink"/>
                <w:noProof/>
              </w:rPr>
              <w:t>9. Sustainability, Good Practice and Post-Covid Resilience</w:t>
            </w:r>
            <w:r>
              <w:rPr>
                <w:noProof/>
                <w:webHidden/>
              </w:rPr>
              <w:tab/>
            </w:r>
            <w:r>
              <w:rPr>
                <w:noProof/>
                <w:webHidden/>
              </w:rPr>
              <w:fldChar w:fldCharType="begin"/>
            </w:r>
            <w:r>
              <w:rPr>
                <w:noProof/>
                <w:webHidden/>
              </w:rPr>
              <w:instrText xml:space="preserve"> PAGEREF _Toc234702426 \h </w:instrText>
            </w:r>
            <w:r>
              <w:rPr>
                <w:noProof/>
                <w:webHidden/>
              </w:rPr>
            </w:r>
            <w:r>
              <w:rPr>
                <w:noProof/>
                <w:webHidden/>
              </w:rPr>
              <w:fldChar w:fldCharType="separate"/>
            </w:r>
            <w:r>
              <w:rPr>
                <w:noProof/>
                <w:webHidden/>
              </w:rPr>
              <w:t>20</w:t>
            </w:r>
            <w:r>
              <w:rPr>
                <w:noProof/>
                <w:webHidden/>
              </w:rPr>
              <w:fldChar w:fldCharType="end"/>
            </w:r>
          </w:hyperlink>
        </w:p>
        <w:p w14:paraId="44A7E6AE" w14:textId="15E29108"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27" w:history="1">
            <w:r w:rsidRPr="00D3148C">
              <w:rPr>
                <w:rStyle w:val="Hyperlink"/>
                <w:noProof/>
              </w:rPr>
              <w:t>10. Critical Evaluation and Reflection</w:t>
            </w:r>
            <w:r>
              <w:rPr>
                <w:noProof/>
                <w:webHidden/>
              </w:rPr>
              <w:tab/>
            </w:r>
            <w:r>
              <w:rPr>
                <w:noProof/>
                <w:webHidden/>
              </w:rPr>
              <w:fldChar w:fldCharType="begin"/>
            </w:r>
            <w:r>
              <w:rPr>
                <w:noProof/>
                <w:webHidden/>
              </w:rPr>
              <w:instrText xml:space="preserve"> PAGEREF _Toc234702427 \h </w:instrText>
            </w:r>
            <w:r>
              <w:rPr>
                <w:noProof/>
                <w:webHidden/>
              </w:rPr>
            </w:r>
            <w:r>
              <w:rPr>
                <w:noProof/>
                <w:webHidden/>
              </w:rPr>
              <w:fldChar w:fldCharType="separate"/>
            </w:r>
            <w:r>
              <w:rPr>
                <w:noProof/>
                <w:webHidden/>
              </w:rPr>
              <w:t>21</w:t>
            </w:r>
            <w:r>
              <w:rPr>
                <w:noProof/>
                <w:webHidden/>
              </w:rPr>
              <w:fldChar w:fldCharType="end"/>
            </w:r>
          </w:hyperlink>
        </w:p>
        <w:p w14:paraId="78497D38" w14:textId="216B11B7"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28" w:history="1">
            <w:r w:rsidRPr="00D3148C">
              <w:rPr>
                <w:rStyle w:val="Hyperlink"/>
                <w:noProof/>
              </w:rPr>
              <w:t>11. Critical-Friend and Stakeholder Feedback</w:t>
            </w:r>
            <w:r>
              <w:rPr>
                <w:noProof/>
                <w:webHidden/>
              </w:rPr>
              <w:tab/>
            </w:r>
            <w:r>
              <w:rPr>
                <w:noProof/>
                <w:webHidden/>
              </w:rPr>
              <w:fldChar w:fldCharType="begin"/>
            </w:r>
            <w:r>
              <w:rPr>
                <w:noProof/>
                <w:webHidden/>
              </w:rPr>
              <w:instrText xml:space="preserve"> PAGEREF _Toc234702428 \h </w:instrText>
            </w:r>
            <w:r>
              <w:rPr>
                <w:noProof/>
                <w:webHidden/>
              </w:rPr>
            </w:r>
            <w:r>
              <w:rPr>
                <w:noProof/>
                <w:webHidden/>
              </w:rPr>
              <w:fldChar w:fldCharType="separate"/>
            </w:r>
            <w:r>
              <w:rPr>
                <w:noProof/>
                <w:webHidden/>
              </w:rPr>
              <w:t>22</w:t>
            </w:r>
            <w:r>
              <w:rPr>
                <w:noProof/>
                <w:webHidden/>
              </w:rPr>
              <w:fldChar w:fldCharType="end"/>
            </w:r>
          </w:hyperlink>
        </w:p>
        <w:p w14:paraId="3655CFA5" w14:textId="69C1CDB6"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29" w:history="1">
            <w:r w:rsidRPr="00D3148C">
              <w:rPr>
                <w:rStyle w:val="Hyperlink"/>
                <w:noProof/>
              </w:rPr>
              <w:t>11.1 Changes made following review</w:t>
            </w:r>
            <w:r>
              <w:rPr>
                <w:noProof/>
                <w:webHidden/>
              </w:rPr>
              <w:tab/>
            </w:r>
            <w:r>
              <w:rPr>
                <w:noProof/>
                <w:webHidden/>
              </w:rPr>
              <w:fldChar w:fldCharType="begin"/>
            </w:r>
            <w:r>
              <w:rPr>
                <w:noProof/>
                <w:webHidden/>
              </w:rPr>
              <w:instrText xml:space="preserve"> PAGEREF _Toc234702429 \h </w:instrText>
            </w:r>
            <w:r>
              <w:rPr>
                <w:noProof/>
                <w:webHidden/>
              </w:rPr>
            </w:r>
            <w:r>
              <w:rPr>
                <w:noProof/>
                <w:webHidden/>
              </w:rPr>
              <w:fldChar w:fldCharType="separate"/>
            </w:r>
            <w:r>
              <w:rPr>
                <w:noProof/>
                <w:webHidden/>
              </w:rPr>
              <w:t>22</w:t>
            </w:r>
            <w:r>
              <w:rPr>
                <w:noProof/>
                <w:webHidden/>
              </w:rPr>
              <w:fldChar w:fldCharType="end"/>
            </w:r>
          </w:hyperlink>
        </w:p>
        <w:p w14:paraId="150BC1FD" w14:textId="7FCD4A8F" w:rsidR="004F5761" w:rsidRDefault="004F5761" w:rsidP="004F5761">
          <w:pPr>
            <w:pStyle w:val="TOC2"/>
            <w:tabs>
              <w:tab w:val="right" w:leader="dot" w:pos="9736"/>
            </w:tabs>
            <w:spacing w:after="0"/>
            <w:rPr>
              <w:rFonts w:asciiTheme="minorHAnsi" w:eastAsiaTheme="minorEastAsia" w:hAnsiTheme="minorHAnsi"/>
              <w:noProof/>
              <w:kern w:val="2"/>
              <w:sz w:val="24"/>
              <w:szCs w:val="24"/>
              <w:lang w:eastAsia="en-GB"/>
              <w14:ligatures w14:val="standardContextual"/>
            </w:rPr>
          </w:pPr>
          <w:hyperlink w:anchor="_Toc234702430" w:history="1">
            <w:r w:rsidRPr="00D3148C">
              <w:rPr>
                <w:rStyle w:val="Hyperlink"/>
                <w:noProof/>
              </w:rPr>
              <w:t>11.2 Reflection on the feedback process</w:t>
            </w:r>
            <w:r>
              <w:rPr>
                <w:noProof/>
                <w:webHidden/>
              </w:rPr>
              <w:tab/>
            </w:r>
            <w:r>
              <w:rPr>
                <w:noProof/>
                <w:webHidden/>
              </w:rPr>
              <w:fldChar w:fldCharType="begin"/>
            </w:r>
            <w:r>
              <w:rPr>
                <w:noProof/>
                <w:webHidden/>
              </w:rPr>
              <w:instrText xml:space="preserve"> PAGEREF _Toc234702430 \h </w:instrText>
            </w:r>
            <w:r>
              <w:rPr>
                <w:noProof/>
                <w:webHidden/>
              </w:rPr>
            </w:r>
            <w:r>
              <w:rPr>
                <w:noProof/>
                <w:webHidden/>
              </w:rPr>
              <w:fldChar w:fldCharType="separate"/>
            </w:r>
            <w:r>
              <w:rPr>
                <w:noProof/>
                <w:webHidden/>
              </w:rPr>
              <w:t>22</w:t>
            </w:r>
            <w:r>
              <w:rPr>
                <w:noProof/>
                <w:webHidden/>
              </w:rPr>
              <w:fldChar w:fldCharType="end"/>
            </w:r>
          </w:hyperlink>
        </w:p>
        <w:p w14:paraId="7F1DC09A" w14:textId="2E89330F"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31" w:history="1">
            <w:r w:rsidRPr="00D3148C">
              <w:rPr>
                <w:rStyle w:val="Hyperlink"/>
                <w:noProof/>
              </w:rPr>
              <w:t>12. Conclusion</w:t>
            </w:r>
            <w:r>
              <w:rPr>
                <w:noProof/>
                <w:webHidden/>
              </w:rPr>
              <w:tab/>
            </w:r>
            <w:r>
              <w:rPr>
                <w:noProof/>
                <w:webHidden/>
              </w:rPr>
              <w:fldChar w:fldCharType="begin"/>
            </w:r>
            <w:r>
              <w:rPr>
                <w:noProof/>
                <w:webHidden/>
              </w:rPr>
              <w:instrText xml:space="preserve"> PAGEREF _Toc234702431 \h </w:instrText>
            </w:r>
            <w:r>
              <w:rPr>
                <w:noProof/>
                <w:webHidden/>
              </w:rPr>
            </w:r>
            <w:r>
              <w:rPr>
                <w:noProof/>
                <w:webHidden/>
              </w:rPr>
              <w:fldChar w:fldCharType="separate"/>
            </w:r>
            <w:r>
              <w:rPr>
                <w:noProof/>
                <w:webHidden/>
              </w:rPr>
              <w:t>24</w:t>
            </w:r>
            <w:r>
              <w:rPr>
                <w:noProof/>
                <w:webHidden/>
              </w:rPr>
              <w:fldChar w:fldCharType="end"/>
            </w:r>
          </w:hyperlink>
        </w:p>
        <w:p w14:paraId="3372CEE7" w14:textId="0E4B43D4"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32" w:history="1">
            <w:r w:rsidRPr="00D3148C">
              <w:rPr>
                <w:rStyle w:val="Hyperlink"/>
                <w:noProof/>
              </w:rPr>
              <w:t>Appendix A: Resource Review and Evidence Traceability</w:t>
            </w:r>
            <w:r>
              <w:rPr>
                <w:noProof/>
                <w:webHidden/>
              </w:rPr>
              <w:tab/>
            </w:r>
            <w:r>
              <w:rPr>
                <w:noProof/>
                <w:webHidden/>
              </w:rPr>
              <w:fldChar w:fldCharType="begin"/>
            </w:r>
            <w:r>
              <w:rPr>
                <w:noProof/>
                <w:webHidden/>
              </w:rPr>
              <w:instrText xml:space="preserve"> PAGEREF _Toc234702432 \h </w:instrText>
            </w:r>
            <w:r>
              <w:rPr>
                <w:noProof/>
                <w:webHidden/>
              </w:rPr>
            </w:r>
            <w:r>
              <w:rPr>
                <w:noProof/>
                <w:webHidden/>
              </w:rPr>
              <w:fldChar w:fldCharType="separate"/>
            </w:r>
            <w:r>
              <w:rPr>
                <w:noProof/>
                <w:webHidden/>
              </w:rPr>
              <w:t>25</w:t>
            </w:r>
            <w:r>
              <w:rPr>
                <w:noProof/>
                <w:webHidden/>
              </w:rPr>
              <w:fldChar w:fldCharType="end"/>
            </w:r>
          </w:hyperlink>
        </w:p>
        <w:p w14:paraId="5678509A" w14:textId="5C5AD2C9"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33" w:history="1">
            <w:r w:rsidRPr="00D3148C">
              <w:rPr>
                <w:rStyle w:val="Hyperlink"/>
                <w:noProof/>
              </w:rPr>
              <w:t>Appendix B: Summary of Module 1 (PCAD Strategic Plan 2026 to 2030)</w:t>
            </w:r>
            <w:r>
              <w:rPr>
                <w:noProof/>
                <w:webHidden/>
              </w:rPr>
              <w:tab/>
            </w:r>
            <w:r>
              <w:rPr>
                <w:noProof/>
                <w:webHidden/>
              </w:rPr>
              <w:fldChar w:fldCharType="begin"/>
            </w:r>
            <w:r>
              <w:rPr>
                <w:noProof/>
                <w:webHidden/>
              </w:rPr>
              <w:instrText xml:space="preserve"> PAGEREF _Toc234702433 \h </w:instrText>
            </w:r>
            <w:r>
              <w:rPr>
                <w:noProof/>
                <w:webHidden/>
              </w:rPr>
            </w:r>
            <w:r>
              <w:rPr>
                <w:noProof/>
                <w:webHidden/>
              </w:rPr>
              <w:fldChar w:fldCharType="separate"/>
            </w:r>
            <w:r>
              <w:rPr>
                <w:noProof/>
                <w:webHidden/>
              </w:rPr>
              <w:t>26</w:t>
            </w:r>
            <w:r>
              <w:rPr>
                <w:noProof/>
                <w:webHidden/>
              </w:rPr>
              <w:fldChar w:fldCharType="end"/>
            </w:r>
          </w:hyperlink>
        </w:p>
        <w:p w14:paraId="60B9183B" w14:textId="1CC417A0"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34" w:history="1">
            <w:r w:rsidRPr="00D3148C">
              <w:rPr>
                <w:rStyle w:val="Hyperlink"/>
                <w:noProof/>
              </w:rPr>
              <w:t>Appendix C: Summary of Module 2 (PCAD Collaborative Decision Architecture)</w:t>
            </w:r>
            <w:r>
              <w:rPr>
                <w:noProof/>
                <w:webHidden/>
              </w:rPr>
              <w:tab/>
            </w:r>
            <w:r>
              <w:rPr>
                <w:noProof/>
                <w:webHidden/>
              </w:rPr>
              <w:fldChar w:fldCharType="begin"/>
            </w:r>
            <w:r>
              <w:rPr>
                <w:noProof/>
                <w:webHidden/>
              </w:rPr>
              <w:instrText xml:space="preserve"> PAGEREF _Toc234702434 \h </w:instrText>
            </w:r>
            <w:r>
              <w:rPr>
                <w:noProof/>
                <w:webHidden/>
              </w:rPr>
            </w:r>
            <w:r>
              <w:rPr>
                <w:noProof/>
                <w:webHidden/>
              </w:rPr>
              <w:fldChar w:fldCharType="separate"/>
            </w:r>
            <w:r>
              <w:rPr>
                <w:noProof/>
                <w:webHidden/>
              </w:rPr>
              <w:t>27</w:t>
            </w:r>
            <w:r>
              <w:rPr>
                <w:noProof/>
                <w:webHidden/>
              </w:rPr>
              <w:fldChar w:fldCharType="end"/>
            </w:r>
          </w:hyperlink>
        </w:p>
        <w:p w14:paraId="37E38C0A" w14:textId="6FC1EED6"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35" w:history="1">
            <w:r w:rsidRPr="00D3148C">
              <w:rPr>
                <w:rStyle w:val="Hyperlink"/>
                <w:noProof/>
              </w:rPr>
              <w:t>Appendix D: Student Task Completion Checklist</w:t>
            </w:r>
            <w:r>
              <w:rPr>
                <w:noProof/>
                <w:webHidden/>
              </w:rPr>
              <w:tab/>
            </w:r>
            <w:r>
              <w:rPr>
                <w:noProof/>
                <w:webHidden/>
              </w:rPr>
              <w:fldChar w:fldCharType="begin"/>
            </w:r>
            <w:r>
              <w:rPr>
                <w:noProof/>
                <w:webHidden/>
              </w:rPr>
              <w:instrText xml:space="preserve"> PAGEREF _Toc234702435 \h </w:instrText>
            </w:r>
            <w:r>
              <w:rPr>
                <w:noProof/>
                <w:webHidden/>
              </w:rPr>
            </w:r>
            <w:r>
              <w:rPr>
                <w:noProof/>
                <w:webHidden/>
              </w:rPr>
              <w:fldChar w:fldCharType="separate"/>
            </w:r>
            <w:r>
              <w:rPr>
                <w:noProof/>
                <w:webHidden/>
              </w:rPr>
              <w:t>28</w:t>
            </w:r>
            <w:r>
              <w:rPr>
                <w:noProof/>
                <w:webHidden/>
              </w:rPr>
              <w:fldChar w:fldCharType="end"/>
            </w:r>
          </w:hyperlink>
        </w:p>
        <w:p w14:paraId="2F803818" w14:textId="25BD46F1" w:rsidR="004F5761" w:rsidRDefault="004F5761" w:rsidP="004F5761">
          <w:pPr>
            <w:pStyle w:val="TOC1"/>
            <w:rPr>
              <w:rFonts w:asciiTheme="minorHAnsi" w:eastAsiaTheme="minorEastAsia" w:hAnsiTheme="minorHAnsi"/>
              <w:noProof/>
              <w:kern w:val="2"/>
              <w:sz w:val="24"/>
              <w:szCs w:val="24"/>
              <w:lang w:eastAsia="en-GB"/>
              <w14:ligatures w14:val="standardContextual"/>
            </w:rPr>
          </w:pPr>
          <w:hyperlink w:anchor="_Toc234702436" w:history="1">
            <w:r w:rsidRPr="00D3148C">
              <w:rPr>
                <w:rStyle w:val="Hyperlink"/>
                <w:noProof/>
              </w:rPr>
              <w:t>References</w:t>
            </w:r>
            <w:r>
              <w:rPr>
                <w:noProof/>
                <w:webHidden/>
              </w:rPr>
              <w:tab/>
            </w:r>
            <w:r>
              <w:rPr>
                <w:noProof/>
                <w:webHidden/>
              </w:rPr>
              <w:fldChar w:fldCharType="begin"/>
            </w:r>
            <w:r>
              <w:rPr>
                <w:noProof/>
                <w:webHidden/>
              </w:rPr>
              <w:instrText xml:space="preserve"> PAGEREF _Toc234702436 \h </w:instrText>
            </w:r>
            <w:r>
              <w:rPr>
                <w:noProof/>
                <w:webHidden/>
              </w:rPr>
            </w:r>
            <w:r>
              <w:rPr>
                <w:noProof/>
                <w:webHidden/>
              </w:rPr>
              <w:fldChar w:fldCharType="separate"/>
            </w:r>
            <w:r>
              <w:rPr>
                <w:noProof/>
                <w:webHidden/>
              </w:rPr>
              <w:t>29</w:t>
            </w:r>
            <w:r>
              <w:rPr>
                <w:noProof/>
                <w:webHidden/>
              </w:rPr>
              <w:fldChar w:fldCharType="end"/>
            </w:r>
          </w:hyperlink>
        </w:p>
        <w:p w14:paraId="6156A14F" w14:textId="64F4D01A" w:rsidR="00BA232D" w:rsidRDefault="00000000" w:rsidP="004F5761">
          <w:pPr>
            <w:pStyle w:val="TOC1"/>
            <w:tabs>
              <w:tab w:val="clear" w:pos="9736"/>
              <w:tab w:val="right" w:leader="dot" w:pos="9745"/>
            </w:tabs>
          </w:pPr>
          <w:r>
            <w:rPr>
              <w:rStyle w:val="IndexLink"/>
            </w:rPr>
            <w:fldChar w:fldCharType="end"/>
          </w:r>
        </w:p>
      </w:sdtContent>
    </w:sdt>
    <w:p w14:paraId="53773D0C" w14:textId="77777777" w:rsidR="00BA232D" w:rsidRDefault="00BA232D">
      <w:pPr>
        <w:spacing w:after="200" w:line="276" w:lineRule="auto"/>
        <w:rPr>
          <w:rFonts w:cstheme="majorBidi"/>
          <w:b/>
          <w:bCs/>
          <w:color w:val="1F4E79"/>
          <w:sz w:val="32"/>
          <w:szCs w:val="28"/>
        </w:rPr>
      </w:pPr>
    </w:p>
    <w:p w14:paraId="1C9CA5E6" w14:textId="77777777" w:rsidR="00FC130A" w:rsidRDefault="00FC130A">
      <w:pPr>
        <w:spacing w:after="0" w:line="240" w:lineRule="auto"/>
        <w:rPr>
          <w:rFonts w:cstheme="majorBidi"/>
          <w:b/>
          <w:bCs/>
          <w:color w:val="1F4E79"/>
          <w:sz w:val="32"/>
          <w:szCs w:val="28"/>
        </w:rPr>
      </w:pPr>
      <w:bookmarkStart w:id="0" w:name="_Toc234699796"/>
      <w:r>
        <w:br w:type="page"/>
      </w:r>
    </w:p>
    <w:p w14:paraId="206DDE09" w14:textId="56C9F3D9" w:rsidR="00BA232D" w:rsidRDefault="00000000">
      <w:pPr>
        <w:pStyle w:val="Heading1"/>
        <w:spacing w:before="280" w:after="120"/>
      </w:pPr>
      <w:bookmarkStart w:id="1" w:name="_Toc234702398"/>
      <w:r>
        <w:rPr>
          <w:rFonts w:ascii="Arial" w:eastAsia="Arial" w:hAnsi="Arial"/>
        </w:rPr>
        <w:lastRenderedPageBreak/>
        <w:t>Executive Summary</w:t>
      </w:r>
      <w:bookmarkEnd w:id="0"/>
      <w:bookmarkEnd w:id="1"/>
    </w:p>
    <w:p w14:paraId="31EBCF98" w14:textId="77777777" w:rsidR="00BA232D" w:rsidRDefault="00000000" w:rsidP="00FC130A">
      <w:pPr>
        <w:spacing w:line="276" w:lineRule="auto"/>
        <w:jc w:val="lowKashida"/>
      </w:pPr>
      <w:r>
        <w:t>This report outlines an alternative to the traditional use of secretaries in providing support at Board and Committee level within the Public Investment Fund (PIF) Portfolio using a capability called "</w:t>
      </w:r>
      <w:r>
        <w:rPr>
          <w:b/>
          <w:bCs/>
        </w:rPr>
        <w:t>Secretariat-in-a-Box</w:t>
      </w:r>
      <w:r>
        <w:t>", a document grounded artificial intelligence governance platform. The central premise of this argument is deliberately straightforward, the Board secretary has historically been viewed as a person, but for an organisation seeking to develop its capabilities, it requires the development of a new capability in terms of the role of the Board secretary. An effective Board secretariat should be capable of continuing to operate independently of the tenure, experience, and availability of a single highly experienced individual. For a sovereign wealth fund transitioning from rapid growth and scale to sustainable value realisation and delivery, such a reliance presents a significant risk to the governance, financial, and resilience performance of the organisation.</w:t>
      </w:r>
    </w:p>
    <w:p w14:paraId="3E87C945" w14:textId="77777777" w:rsidR="00BA232D" w:rsidRDefault="00000000" w:rsidP="00FC130A">
      <w:pPr>
        <w:spacing w:line="276" w:lineRule="auto"/>
        <w:jc w:val="lowKashida"/>
      </w:pPr>
      <w:r>
        <w:t xml:space="preserve">The proposal is disruptive in that it will fundamentally alter the way in which a Board Secretary conducts their duties. Instead of simply receiving improved templates or a quicker drafting tool for documentation, it will transform the fundamental methodology employed by a Board Secretary to deliver best practice through the development of a locally configured capability that employs reasoning against the </w:t>
      </w:r>
      <w:proofErr w:type="gramStart"/>
      <w:r>
        <w:t>organisations</w:t>
      </w:r>
      <w:proofErr w:type="gramEnd"/>
      <w:r>
        <w:t xml:space="preserve"> own governance repository. This includes all relevant documents associated with the governance of the company including; Board and Committee charters, delegation of authority matrix, policies and procedures, prior minutes, resolutions and action registers. It will also provide full support for each phase of the meeting lifecycle: before, during and after the Board meeting. The capability will automatically generate agendas, move unresolved actions forward into future meetings, identify potential issues related to authority and quorum based upon previous minutes and resolutions, create first-draft minutes, automatically identify and assign decision responsibility, maintain corporate knowledge base, and assist in on-boarding new employees. However, the Board secretary is still responsible for maintaining accurate records.</w:t>
      </w:r>
    </w:p>
    <w:p w14:paraId="7A4127BE" w14:textId="77777777" w:rsidR="00BA232D" w:rsidRDefault="00000000" w:rsidP="00FC130A">
      <w:pPr>
        <w:spacing w:line="276" w:lineRule="auto"/>
        <w:jc w:val="lowKashida"/>
      </w:pPr>
      <w:r>
        <w:t>The report builds upon the ideas I have already proposed in Modules 1 and 2:</w:t>
      </w:r>
    </w:p>
    <w:p w14:paraId="309E8F66" w14:textId="77777777" w:rsidR="00BA232D" w:rsidRDefault="00000000" w:rsidP="00FC130A">
      <w:pPr>
        <w:pStyle w:val="ListParagraph"/>
        <w:numPr>
          <w:ilvl w:val="0"/>
          <w:numId w:val="7"/>
        </w:numPr>
        <w:spacing w:line="276" w:lineRule="auto"/>
        <w:jc w:val="lowKashida"/>
      </w:pPr>
      <w:r>
        <w:rPr>
          <w:b/>
          <w:bCs/>
        </w:rPr>
        <w:t xml:space="preserve">Module 1 </w:t>
      </w:r>
      <w:r>
        <w:t xml:space="preserve">established that the Portfolio Companies Affairs Department (PCAD) Platform should develop into a portfolio governance platform for PIF that it will be difficult to allocate governance attention in a complex portfolio, but this will be less challenging than allocating activities (Dossa, 2026o). </w:t>
      </w:r>
    </w:p>
    <w:p w14:paraId="4DEFFAC5" w14:textId="77777777" w:rsidR="00BA232D" w:rsidRDefault="00000000" w:rsidP="00FC130A">
      <w:pPr>
        <w:pStyle w:val="ListParagraph"/>
        <w:numPr>
          <w:ilvl w:val="0"/>
          <w:numId w:val="7"/>
        </w:numPr>
        <w:spacing w:line="276" w:lineRule="auto"/>
        <w:jc w:val="lowKashida"/>
      </w:pPr>
      <w:r>
        <w:rPr>
          <w:b/>
          <w:bCs/>
        </w:rPr>
        <w:t>Module 2</w:t>
      </w:r>
      <w:r>
        <w:t xml:space="preserve"> created the architecture of the PCAD Collaborative Decision Process. To provide an orderly way to transform ambiguity into rational and defendable decisions based on the DECIDE cycle, as well as to use dual-lens triage (Dossa, 2026p), the PCAD Collaborative Decision Process was designed to accomplish this transformation. </w:t>
      </w:r>
    </w:p>
    <w:p w14:paraId="0A7432AF" w14:textId="77777777" w:rsidR="00BA232D" w:rsidRDefault="00000000" w:rsidP="00FC130A">
      <w:pPr>
        <w:spacing w:line="276" w:lineRule="auto"/>
        <w:jc w:val="lowKashida"/>
      </w:pPr>
      <w:r>
        <w:rPr>
          <w:b/>
          <w:bCs/>
        </w:rPr>
        <w:t>Secretariat-in-a-Box</w:t>
      </w:r>
      <w:r>
        <w:t xml:space="preserve"> is the next logical step, as it provides the mechanism whereby these ideas will be implemented at the point in time when the actual production of governance occurs; i.e., the Board pack, meeting, minutes and action trail.</w:t>
      </w:r>
    </w:p>
    <w:p w14:paraId="26C91242" w14:textId="77777777" w:rsidR="00BA232D" w:rsidRDefault="00000000" w:rsidP="00FC130A">
      <w:pPr>
        <w:spacing w:line="276" w:lineRule="auto"/>
        <w:jc w:val="lowKashida"/>
      </w:pPr>
      <w:r>
        <w:t>I am recommending approval of a staged proof of concept (PoC) to demonstrate that there is enough feasibility for a full-scale technological implementation. A minimum viable product (MVP) could include a persistent decision and action tracking tool, a persistent question and answer capability over approved governance documentation, delegation of authority checks capabilities, a first draft minute generation process, and a decision extraction process. These are the areas where users currently experience pain and where value can be demonstrated, as well as the area in which the system can build credibility prior to implementing additional higher-risk advisory functionalities.</w:t>
      </w:r>
    </w:p>
    <w:p w14:paraId="0ACE27AD" w14:textId="77777777" w:rsidR="00BA232D" w:rsidRDefault="00000000" w:rsidP="00FC130A">
      <w:pPr>
        <w:spacing w:line="276" w:lineRule="auto"/>
        <w:jc w:val="lowKashida"/>
      </w:pPr>
      <w:r>
        <w:t>The design is language model agnostic, defaults to local data sources, is retrieval led, enforced by citations and accountable to humans. This enables the protection of confidential information as well as recognising that in a quasi-legal domain a confident wrong answer is worse than providing no answer.</w:t>
      </w:r>
    </w:p>
    <w:p w14:paraId="7ABFC9E0" w14:textId="77777777" w:rsidR="00BA232D" w:rsidRDefault="00000000" w:rsidP="00FC130A">
      <w:pPr>
        <w:spacing w:line="276" w:lineRule="auto"/>
        <w:jc w:val="lowKashida"/>
      </w:pPr>
      <w:r>
        <w:lastRenderedPageBreak/>
        <w:t xml:space="preserve">The risks of hallucination, data leakage, false authority, over-reliance, deskilling, mandate creep, cybersecurity, regulatory uncertainty, and adoption resistance, have been considered during the design of the proposal. To address these risks, the following controls will be incorporated in the design phase: local deployment, data isolation, mandatory citation requirements, explicit responses to "unknowns", role-based access control, audit logging, human approval processes (signoffs), clear legal boundaries, pilot testing, and stage-gates. </w:t>
      </w:r>
    </w:p>
    <w:p w14:paraId="2AB083B2" w14:textId="77777777" w:rsidR="00BA232D" w:rsidRDefault="00000000" w:rsidP="00FC130A">
      <w:pPr>
        <w:spacing w:line="276" w:lineRule="auto"/>
        <w:jc w:val="lowKashida"/>
      </w:pPr>
      <w:r>
        <w:t xml:space="preserve">Success will be judged by the results, rather than enthusiasm. Key success factors will be based on whether the proposal decreases pack rework, increases first time right minutes, improves action closure, decreases repeat escalations for routine authority questions, builds secretary confidence, ensures that all corporate memory exists when handed over to other staff members, and creates fewer governance surprises. The platform should only scale if the pilot demonstrates success in relation to each of these metrics. This ensures the professional integrity of the team and prevents an organisation from making a distinction between a great idea and a good idea being successful. </w:t>
      </w:r>
    </w:p>
    <w:p w14:paraId="50B91E1A" w14:textId="77777777" w:rsidR="00BA232D" w:rsidRDefault="00000000" w:rsidP="00FC130A">
      <w:pPr>
        <w:spacing w:line="276" w:lineRule="auto"/>
        <w:jc w:val="lowKashida"/>
      </w:pPr>
      <w:r>
        <w:t>Another method to measure success would be to see if the platform has improved the user experience within the governance community surrounding the secretary. In particular chairmen will have increased meeting control, chief executives will have clear guidance before meetings and after meetings as well as increased support, and PCAD will have an enhanced ability to function as the steward of good corporate governance for the PIF portfolio with proper boundaries.</w:t>
      </w:r>
    </w:p>
    <w:p w14:paraId="68C4AE80" w14:textId="77777777" w:rsidR="00BA232D" w:rsidRDefault="00000000" w:rsidP="00FC130A">
      <w:pPr>
        <w:pStyle w:val="Heading2"/>
        <w:spacing w:before="200"/>
        <w:jc w:val="lowKashida"/>
      </w:pPr>
      <w:bookmarkStart w:id="2" w:name="_Toc234699797"/>
      <w:bookmarkStart w:id="3" w:name="_Toc234702399"/>
      <w:r>
        <w:rPr>
          <w:rFonts w:ascii="Arial" w:eastAsia="Arial" w:hAnsi="Arial"/>
        </w:rPr>
        <w:t>Senior Management Approval Ask</w:t>
      </w:r>
      <w:bookmarkEnd w:id="2"/>
      <w:bookmarkEnd w:id="3"/>
    </w:p>
    <w:p w14:paraId="5C674348" w14:textId="77777777" w:rsidR="00BA232D" w:rsidRDefault="00000000" w:rsidP="00FC130A">
      <w:pPr>
        <w:spacing w:line="276" w:lineRule="auto"/>
        <w:jc w:val="lowKashida"/>
      </w:pPr>
      <w:r>
        <w:t>Approval is requested from senior management to proceed with the development of the PoC the Secretariat-in-a-Box, along with authorising PCAD to coordinate with Legal, Digital and Technology and Cybersecurity for the execution of the PoC.</w:t>
      </w:r>
    </w:p>
    <w:p w14:paraId="008D18BF" w14:textId="77777777" w:rsidR="00BA232D" w:rsidRDefault="00000000" w:rsidP="00FC130A">
      <w:pPr>
        <w:spacing w:line="276" w:lineRule="auto"/>
        <w:jc w:val="lowKashida"/>
      </w:pPr>
      <w:r>
        <w:t>In addition to the approvals described above, the approval should support five non-negotiable design constraints: all Board and shareholder information will be held within the approved company environment; all answers are to reference their source document, or clearly state if the requested answer cannot be sourced; the Board Secretary maintains responsibility for the official records; Legal provides the authority on legal matters; and PCAD utilises this technology to provide standards, develop competency and measure authorised knowledge acquisition, rather than replace company secretary functions.</w:t>
      </w:r>
    </w:p>
    <w:p w14:paraId="3FFB06F7" w14:textId="77777777" w:rsidR="00BA232D" w:rsidRDefault="00000000" w:rsidP="00FC130A">
      <w:pPr>
        <w:spacing w:line="276" w:lineRule="auto"/>
        <w:jc w:val="lowKashida"/>
      </w:pPr>
      <w:r>
        <w:t>Following the conclusion of the pilot, senior management will receive measurable evidence of how well the pilot has performed versus the baseline, as well as feedback from the Board Secretary, Chairperson, CEO and members of PCAD regarding the pilot. Additionally, there will be an opportunity to perform a risk Assessment to identify areas of concern and a recommendation whether to stop, redesign the pilot, extend the pilot or scale up the pilot in phases.</w:t>
      </w:r>
    </w:p>
    <w:p w14:paraId="3549DA98" w14:textId="77777777" w:rsidR="00FC130A" w:rsidRDefault="00FC130A">
      <w:pPr>
        <w:spacing w:after="0" w:line="240" w:lineRule="auto"/>
        <w:rPr>
          <w:rFonts w:cstheme="majorBidi"/>
          <w:b/>
          <w:bCs/>
          <w:color w:val="1F4E79"/>
          <w:sz w:val="32"/>
          <w:szCs w:val="28"/>
        </w:rPr>
      </w:pPr>
      <w:bookmarkStart w:id="4" w:name="_Toc234699798"/>
      <w:r>
        <w:br w:type="page"/>
      </w:r>
    </w:p>
    <w:p w14:paraId="6E8AC68A" w14:textId="409528C5" w:rsidR="00BA232D" w:rsidRDefault="00000000">
      <w:pPr>
        <w:pStyle w:val="Heading1"/>
        <w:spacing w:before="280" w:after="120"/>
      </w:pPr>
      <w:bookmarkStart w:id="5" w:name="_Toc234702400"/>
      <w:r>
        <w:rPr>
          <w:rFonts w:ascii="Arial" w:eastAsia="Arial" w:hAnsi="Arial"/>
        </w:rPr>
        <w:lastRenderedPageBreak/>
        <w:t>1. Professional Practice and Organisational Context</w:t>
      </w:r>
      <w:bookmarkEnd w:id="4"/>
      <w:bookmarkEnd w:id="5"/>
    </w:p>
    <w:p w14:paraId="5CEF9B96" w14:textId="77777777" w:rsidR="00BA232D" w:rsidRDefault="00000000" w:rsidP="00FC130A">
      <w:pPr>
        <w:spacing w:line="276" w:lineRule="auto"/>
        <w:jc w:val="lowKashida"/>
      </w:pPr>
      <w:r>
        <w:t>PIF is one of the central entities dedicated to helping the government of Saudi Arabia achieve its goals of growing the economy, investing long term and transforming society. The PIF's 2026-30 strategy outlines what will be a natural progression from very fast growth toward sustainable growth in value creation over time. The emphasis will be on maximising the PIF's contribution to the creation of value, improving the efficiency of investments made by the fund, encouraging private sector involvement and upholding the highest levels of corporate governance and transparency while striving for institutional excellence (Public Investment Fund, 2026a). Governance is now a component of the value-creation process. Therefore, when PIF focuses on realising value from its investments, both the quality of the governance and how effectively it is exercised become critical components of how value is created, preserved and demonstrated, especially given the magnitude of the increase in size and assets managed by the portfolio (Public Investment Fund, 2025).</w:t>
      </w:r>
    </w:p>
    <w:p w14:paraId="6F30A248" w14:textId="77777777" w:rsidR="00BA232D" w:rsidRDefault="00000000" w:rsidP="00FC130A">
      <w:pPr>
        <w:spacing w:line="276" w:lineRule="auto"/>
        <w:jc w:val="lowKashida"/>
      </w:pPr>
      <w:r>
        <w:t>In my position at the PCAD located in the Chief of Staff Division, I assist in providing services that support PIF in carrying out its responsibilities as a shareholder, supporting good governance practices among the Boards and Committees of the various companies that are owned by PIF, and providing reliable governance data to senior decision makers. To accomplish these objectives, however, PCAD cannot displace the Boards or Executives of the various portfolio companies. Therefore, distinguishing between shareholder oversight, governance support and operational management is essential. If a governance system were developed that blurred the boundaries between each of these areas, it could produce risks instead of reducing them.</w:t>
      </w:r>
    </w:p>
    <w:p w14:paraId="37CE875D" w14:textId="77777777" w:rsidR="00BA232D" w:rsidRDefault="00000000" w:rsidP="00FC130A">
      <w:pPr>
        <w:spacing w:line="276" w:lineRule="auto"/>
        <w:jc w:val="lowKashida"/>
      </w:pPr>
      <w:r>
        <w:t>I am currently working as head of the Decision Support and Strategic Insight Section. As such I am responsible for how issues are identified, evidence based, co-ordinated and presented in a format ready for decision. I do this by influencing decision disciplines within the company using a combination of my ability to frame what needs to be done, provide evidence to support those needs and assist other teams with providing their input through a variety of mechanisms including portfolio companies, executive management and Board members. Because of this I see the secretariat function challenge as being very practical. A poorly prepared Board pack will result in poor meeting records which results in poor follow-through on actions and if there are questions around authority they are usually answered by relying upon one's memory.</w:t>
      </w:r>
    </w:p>
    <w:p w14:paraId="092BC126" w14:textId="77777777" w:rsidR="00BA232D" w:rsidRDefault="00000000" w:rsidP="00FC130A">
      <w:pPr>
        <w:jc w:val="lowKashida"/>
      </w:pPr>
      <w:r>
        <w:t>My professional history guides the proposal. For over 25 years, my career has involved combining governance, risk, technology and making informed decisions when there are uncertainties. Through technology-based developmental work, providing forensic and financial crime advisory services, developing regulatory frameworks for supervisors, and managing portfolios, I repeatedly see that a framework cannot deliver value unless people feel confident and safe using the framework as they make actual decisions (Dossa, 2026a, 2026b). Therefore, this proposal does not only focus on artificial intelligence. Instead, it focuses on creating capabilities which are practical, trusted, controlled and reasonable within the Board room environment.</w:t>
      </w:r>
    </w:p>
    <w:p w14:paraId="6E9D716B" w14:textId="77777777" w:rsidR="00BA232D" w:rsidRDefault="00000000" w:rsidP="00FC130A">
      <w:pPr>
        <w:spacing w:line="276" w:lineRule="auto"/>
        <w:jc w:val="lowKashida"/>
      </w:pPr>
      <w:r>
        <w:t>Therefore, the organisational issue with PCAD is not because of lack of authority, manual documents or templates. Rather, the issue is that a large amount of judgement that enables governance is present in individuals rather than routine processes. Most experienced Board secretaries know how to create agendas, read and understand delegation matrices, predict what questions boards might ask, document resolutions made by the Board and follow up on items agreed upon by the Board.  However, a less experienced secretary with the same level of documentation may not be able to promptly identify the nuances of the information available. The Secretariat-in-a-Box seeks to transform the expert method into an institutional capability, with the human still in control.</w:t>
      </w:r>
    </w:p>
    <w:p w14:paraId="2883EE15" w14:textId="77777777" w:rsidR="00BA232D" w:rsidRDefault="00000000">
      <w:pPr>
        <w:pStyle w:val="Heading1"/>
        <w:spacing w:before="280" w:after="120"/>
      </w:pPr>
      <w:bookmarkStart w:id="6" w:name="_Toc234699799"/>
      <w:bookmarkStart w:id="7" w:name="_Toc234702401"/>
      <w:r>
        <w:rPr>
          <w:rFonts w:ascii="Arial" w:eastAsia="Arial" w:hAnsi="Arial"/>
        </w:rPr>
        <w:lastRenderedPageBreak/>
        <w:t>2. Strategic, Industry and Theoretical Context</w:t>
      </w:r>
      <w:bookmarkEnd w:id="6"/>
      <w:bookmarkEnd w:id="7"/>
    </w:p>
    <w:p w14:paraId="68516941" w14:textId="77777777" w:rsidR="00BA232D" w:rsidRDefault="00000000">
      <w:pPr>
        <w:pStyle w:val="Heading2"/>
        <w:spacing w:before="200"/>
      </w:pPr>
      <w:bookmarkStart w:id="8" w:name="_Toc234699800"/>
      <w:bookmarkStart w:id="9" w:name="_Toc234702402"/>
      <w:r>
        <w:rPr>
          <w:rFonts w:ascii="Arial" w:eastAsia="Arial" w:hAnsi="Arial"/>
        </w:rPr>
        <w:t>2.1 Why the timing is now</w:t>
      </w:r>
      <w:bookmarkEnd w:id="8"/>
      <w:bookmarkEnd w:id="9"/>
    </w:p>
    <w:p w14:paraId="163FC359" w14:textId="77777777" w:rsidR="00BA232D" w:rsidRDefault="00000000" w:rsidP="00FC130A">
      <w:pPr>
        <w:spacing w:line="276" w:lineRule="auto"/>
        <w:jc w:val="lowKashida"/>
      </w:pPr>
      <w:r>
        <w:t xml:space="preserve">Several factors contribute to the timeliness of this project. The first is that PIF’s renewed focus on value realisation creates an increased demand for consistent governance practices across </w:t>
      </w:r>
      <w:proofErr w:type="gramStart"/>
      <w:r>
        <w:t>all of</w:t>
      </w:r>
      <w:proofErr w:type="gramEnd"/>
      <w:r>
        <w:t xml:space="preserve"> our portfolio companies. Second, with the current global environment being one in which digital Board materials, hybrid meetings, rapid decision making, and distributed governance have become the new norm; many secretariat practices continue to rely upon manual recollection and informal follow-up. Third, we have seen the adoption of generative AI can reason over a controlled set of data, with less risk of hallucination. Fourth, there is increasing pressure from both regulatory bodies and boards regarding data protection, accountability and transparency of AI supported decisions. An AI powered governance assistant would be unacceptable if it could not demonstrate </w:t>
      </w:r>
      <w:proofErr w:type="gramStart"/>
      <w:r>
        <w:t>how</w:t>
      </w:r>
      <w:proofErr w:type="gramEnd"/>
      <w:r>
        <w:t xml:space="preserve"> it derived each recommendation or action.</w:t>
      </w:r>
    </w:p>
    <w:p w14:paraId="2735F3EB" w14:textId="77777777" w:rsidR="00BA232D" w:rsidRDefault="00000000" w:rsidP="00FC130A">
      <w:pPr>
        <w:spacing w:line="276" w:lineRule="auto"/>
        <w:jc w:val="lowKashida"/>
      </w:pPr>
      <w:r>
        <w:t xml:space="preserve">The current governance landscape is positive and provides scope to create an innovative governance strategy. The NIST AI Risk Management framework emphasises several "trustworthy" characteristics of AI, that is valid, reliable, safe, secure, accountable, transparent, explainable, enhances privacy and fair (National Institute of Standards and Technology [NIST], 2023). ISO/IEC 42001 outlines the specifications for an Artificial Intelligence Management System; This is important as the problem is not just with the model but the management system surrounding it (ISO/IEC, 2023). The OECDs AI principles are intended to provide an outline for how to develop Trustworthy AI and offer practical advice on how to implement AI for both Actors and Policymakers (OECD, 2024). The EU's proposed AI act further </w:t>
      </w:r>
      <w:proofErr w:type="gramStart"/>
      <w:r>
        <w:t>support</w:t>
      </w:r>
      <w:proofErr w:type="gramEnd"/>
      <w:r>
        <w:t xml:space="preserve"> this trend toward developing Risk based approaches to govern AI (European Commission, 2024). These resources all point to one simple fact: an AI Board governance platform will need to be managed as a system and cannot simply be viewed as a smart tool.</w:t>
      </w:r>
    </w:p>
    <w:p w14:paraId="5BDB35E4" w14:textId="77777777" w:rsidR="00BA232D" w:rsidRDefault="00000000" w:rsidP="00FC130A">
      <w:pPr>
        <w:spacing w:line="276" w:lineRule="auto"/>
        <w:jc w:val="lowKashida"/>
      </w:pPr>
      <w:r>
        <w:t>The Saudi Data and AI Authority (SDAIA), which is the national body tasked with the development of data and AI across the country, has identified data governance and privacy as key areas to address as part of its role in developing the digital transformation of the Kingdom (Saudi Data &amp; AI Authority, 2026a, 2026b). Therefore, a document-based architecture based on local data sources would provide an appropriate framework. Board materials are typically commercially confidential or legally privileged, therefore, a generic cloud chatbot does not offer sufficient value for the portfolio companies. The differentiation of Secretariat-in-a-Box from other cloud-based chatbots is that it can be installed locally to access and work with a company's proprietary document set, while being maintained and operated by the company itself, through their established internal governance, data protection and cybersecurity frameworks.</w:t>
      </w:r>
    </w:p>
    <w:p w14:paraId="03AF5C86" w14:textId="77777777" w:rsidR="00BA232D" w:rsidRDefault="00000000">
      <w:pPr>
        <w:pStyle w:val="Heading2"/>
        <w:spacing w:before="200"/>
      </w:pPr>
      <w:bookmarkStart w:id="10" w:name="_Toc234699801"/>
      <w:bookmarkStart w:id="11" w:name="_Toc234702403"/>
      <w:r>
        <w:rPr>
          <w:rFonts w:ascii="Arial" w:eastAsia="Arial" w:hAnsi="Arial"/>
        </w:rPr>
        <w:t>2.2 Disruptive innovation lens</w:t>
      </w:r>
      <w:bookmarkEnd w:id="10"/>
      <w:bookmarkEnd w:id="11"/>
    </w:p>
    <w:p w14:paraId="797D3B58" w14:textId="77777777" w:rsidR="00BA232D" w:rsidRDefault="00000000" w:rsidP="00FC130A">
      <w:pPr>
        <w:spacing w:line="276" w:lineRule="auto"/>
        <w:jc w:val="lowKashida"/>
      </w:pPr>
      <w:r>
        <w:t>Christensen's theory is useful in that it does not allow for a shallow claim that any tool will be disruptive on its own merit. Christensen stated that disruptions are not just about how sophisticated a technology may be, but also change access to work, the value network and how work is performed by people (Christensen et al., 2015). This Secretariat-in-a-Box is disruptive because it provides less experienced secretaries, as well as companies who cannot rely on excellent individuals for extended duration of time with access to expert secretariat judgement. It starts at routine and underserved end of work which includes action tracking, agenda carry forward, citation lookup and other items then it advances into more advanced governance support as trust and capability grow.</w:t>
      </w:r>
    </w:p>
    <w:p w14:paraId="545AA7C9" w14:textId="77777777" w:rsidR="00BA232D" w:rsidRDefault="00000000" w:rsidP="00FC130A">
      <w:pPr>
        <w:spacing w:line="276" w:lineRule="auto"/>
        <w:jc w:val="lowKashida"/>
      </w:pPr>
      <w:r>
        <w:t xml:space="preserve">This is significant as the best first step will be the least attractive of all of them. The persistent decision and action tracker has the greatest credibility as the "wedge" since it addresses a visible issue, creates an organisational memory and does not require that someone trusts an AI system with a live ruling from day one. This is also the disciplined approach advocated for by innovation researchers: set the </w:t>
      </w:r>
      <w:r>
        <w:lastRenderedPageBreak/>
        <w:t>goal clearly, identify resource allocation, de-risking the idea, accelerate the understanding of whether or how well something works, build at scale only when proven and bring into action those who need to utilise the new method (Cohen et al., 2019; de Jong et al., 2015).</w:t>
      </w:r>
    </w:p>
    <w:p w14:paraId="34E3BDEF" w14:textId="77777777" w:rsidR="00BA232D" w:rsidRDefault="00000000" w:rsidP="00FC130A">
      <w:pPr>
        <w:pStyle w:val="Heading2"/>
        <w:spacing w:before="200"/>
        <w:jc w:val="lowKashida"/>
      </w:pPr>
      <w:bookmarkStart w:id="12" w:name="_Toc234699802"/>
      <w:bookmarkStart w:id="13" w:name="_Toc234702404"/>
      <w:r>
        <w:rPr>
          <w:rFonts w:ascii="Arial" w:eastAsia="Arial" w:hAnsi="Arial"/>
        </w:rPr>
        <w:t>2.3 Capability, strategy and adoption theory</w:t>
      </w:r>
      <w:bookmarkEnd w:id="12"/>
      <w:bookmarkEnd w:id="13"/>
    </w:p>
    <w:p w14:paraId="1FFA5397" w14:textId="77777777" w:rsidR="00BA232D" w:rsidRDefault="00000000" w:rsidP="00FC130A">
      <w:pPr>
        <w:spacing w:line="276" w:lineRule="auto"/>
        <w:jc w:val="lowKashida"/>
      </w:pPr>
      <w:r>
        <w:t>The resource-based viewpoint highlights why the existing models are so fragile. There are valuable and unique resources (expertise) contained within the portfolio; however, these resources are not organised to be used repeatedly to exploit their value (Barney, 1991). Dynamic capabilities build upon this by indicating that an organisation must be capable of sensing when there is an issue with governance, seize the correct intervention opportunity and then reorganize its internal routines as organisations evolve (Teece, 2007). To accomplish this reliability at the portfolio level, a secretariat capability reliant on a single individual's recollection of information cannot be relied upon.</w:t>
      </w:r>
    </w:p>
    <w:p w14:paraId="6165928F" w14:textId="77777777" w:rsidR="00BA232D" w:rsidRDefault="00000000" w:rsidP="00FC130A">
      <w:pPr>
        <w:spacing w:line="276" w:lineRule="auto"/>
        <w:jc w:val="lowKashida"/>
      </w:pPr>
      <w:r>
        <w:t>There is also evidence from the strategic management literature cautioning against developing strategies as if they were totally definable prior to implementation. An exploratory local deployment governance AI platform is exploratory in nature. This would suggest that a phase-gated approach would be appropriate given March's distinctions between exploration and exploitation as well as Mintzberg's distinctions between deliberate versus emergent strategies (</w:t>
      </w:r>
      <w:proofErr w:type="gramStart"/>
      <w:r>
        <w:t>March,</w:t>
      </w:r>
      <w:proofErr w:type="gramEnd"/>
      <w:r>
        <w:t xml:space="preserve"> 1991; Mintzberg, 1987).</w:t>
      </w:r>
    </w:p>
    <w:p w14:paraId="10B45577" w14:textId="77777777" w:rsidR="00BA232D" w:rsidRDefault="00000000" w:rsidP="00FC130A">
      <w:pPr>
        <w:spacing w:line="276" w:lineRule="auto"/>
        <w:jc w:val="lowKashida"/>
      </w:pPr>
      <w:r>
        <w:t>Psychological safety is a necessity since it is in that climate of psychological safety that users can look for help using the tool. It is also a necessity because high reliability thinking is needed when developing this tool. High reliability thinking requires identifying all possible failure modes, understanding all possible uncertainties related to how the tool will behave under various conditions, and designing an escalating process of intervention that does not depend on discretion but rather follows a well-defined set of steps (Edmondson, 1999; Weick &amp; Sutcliffe, 2015). Therefore, it was deemed that the citation discipline, unknown response possibilities, and human oversight are essential parts of the development process and cannot be seen as optional design decisions.</w:t>
      </w:r>
    </w:p>
    <w:p w14:paraId="713F5DB7" w14:textId="77777777" w:rsidR="00BA232D" w:rsidRDefault="00000000">
      <w:pPr>
        <w:pStyle w:val="Caption"/>
        <w:spacing w:before="120" w:after="40"/>
      </w:pPr>
      <w:r>
        <w:t>Table 1. Advanced frontier trends and design implications.</w:t>
      </w:r>
    </w:p>
    <w:tbl>
      <w:tblPr>
        <w:tblStyle w:val="TableGrid"/>
        <w:tblW w:w="9360" w:type="dxa"/>
        <w:jc w:val="center"/>
        <w:tblLayout w:type="fixed"/>
        <w:tblLook w:val="04A0" w:firstRow="1" w:lastRow="0" w:firstColumn="1" w:lastColumn="0" w:noHBand="0" w:noVBand="1"/>
      </w:tblPr>
      <w:tblGrid>
        <w:gridCol w:w="2447"/>
        <w:gridCol w:w="3601"/>
        <w:gridCol w:w="3312"/>
      </w:tblGrid>
      <w:tr w:rsidR="00BA232D" w14:paraId="59C7A735" w14:textId="77777777">
        <w:trPr>
          <w:cantSplit/>
          <w:tblHeader/>
          <w:jc w:val="center"/>
        </w:trPr>
        <w:tc>
          <w:tcPr>
            <w:tcW w:w="2447" w:type="dxa"/>
            <w:shd w:val="clear" w:color="auto" w:fill="1F4E79"/>
          </w:tcPr>
          <w:p w14:paraId="26FB2B1F" w14:textId="77777777" w:rsidR="00BA232D" w:rsidRDefault="00000000">
            <w:pPr>
              <w:spacing w:after="40" w:line="240" w:lineRule="auto"/>
              <w:rPr>
                <w:rFonts w:cs="Arial"/>
              </w:rPr>
            </w:pPr>
            <w:r>
              <w:rPr>
                <w:rFonts w:cs="Arial"/>
                <w:b/>
                <w:color w:val="FFFFFF"/>
                <w:sz w:val="17"/>
              </w:rPr>
              <w:t>Frontier or trend</w:t>
            </w:r>
          </w:p>
        </w:tc>
        <w:tc>
          <w:tcPr>
            <w:tcW w:w="3601" w:type="dxa"/>
            <w:shd w:val="clear" w:color="auto" w:fill="1F4E79"/>
          </w:tcPr>
          <w:p w14:paraId="0CB1FEA2" w14:textId="77777777" w:rsidR="00BA232D" w:rsidRDefault="00000000">
            <w:pPr>
              <w:spacing w:after="40" w:line="240" w:lineRule="auto"/>
              <w:rPr>
                <w:rFonts w:cs="Arial"/>
              </w:rPr>
            </w:pPr>
            <w:r>
              <w:rPr>
                <w:rFonts w:cs="Arial"/>
                <w:b/>
                <w:color w:val="FFFFFF"/>
                <w:sz w:val="17"/>
              </w:rPr>
              <w:t>Implication for Secretariat-in-a-Box</w:t>
            </w:r>
          </w:p>
        </w:tc>
        <w:tc>
          <w:tcPr>
            <w:tcW w:w="3312" w:type="dxa"/>
            <w:shd w:val="clear" w:color="auto" w:fill="1F4E79"/>
          </w:tcPr>
          <w:p w14:paraId="23825370" w14:textId="77777777" w:rsidR="00BA232D" w:rsidRDefault="00000000">
            <w:pPr>
              <w:spacing w:after="40" w:line="240" w:lineRule="auto"/>
              <w:rPr>
                <w:rFonts w:cs="Arial"/>
              </w:rPr>
            </w:pPr>
            <w:r>
              <w:rPr>
                <w:rFonts w:cs="Arial"/>
                <w:b/>
                <w:color w:val="FFFFFF"/>
                <w:sz w:val="17"/>
              </w:rPr>
              <w:t>Design response</w:t>
            </w:r>
          </w:p>
        </w:tc>
      </w:tr>
      <w:tr w:rsidR="00BA232D" w14:paraId="0F23D7EA" w14:textId="77777777">
        <w:trPr>
          <w:cantSplit/>
          <w:jc w:val="center"/>
        </w:trPr>
        <w:tc>
          <w:tcPr>
            <w:tcW w:w="2447" w:type="dxa"/>
          </w:tcPr>
          <w:p w14:paraId="5B668CF2" w14:textId="77777777" w:rsidR="00BA232D" w:rsidRDefault="00000000">
            <w:pPr>
              <w:spacing w:after="40" w:line="240" w:lineRule="auto"/>
              <w:rPr>
                <w:rFonts w:cs="Arial"/>
              </w:rPr>
            </w:pPr>
            <w:r>
              <w:rPr>
                <w:rFonts w:cs="Arial"/>
                <w:sz w:val="17"/>
              </w:rPr>
              <w:t>Generative AI and retrieval-augmented generation</w:t>
            </w:r>
          </w:p>
        </w:tc>
        <w:tc>
          <w:tcPr>
            <w:tcW w:w="3601" w:type="dxa"/>
          </w:tcPr>
          <w:p w14:paraId="083A00F3" w14:textId="77777777" w:rsidR="00BA232D" w:rsidRDefault="00000000">
            <w:pPr>
              <w:spacing w:after="40" w:line="240" w:lineRule="auto"/>
              <w:rPr>
                <w:rFonts w:cs="Arial"/>
              </w:rPr>
            </w:pPr>
            <w:r>
              <w:rPr>
                <w:rFonts w:cs="Arial"/>
                <w:sz w:val="17"/>
              </w:rPr>
              <w:t>AI can support professional judgement by reasoning over controlled corporate documents.</w:t>
            </w:r>
          </w:p>
        </w:tc>
        <w:tc>
          <w:tcPr>
            <w:tcW w:w="3312" w:type="dxa"/>
          </w:tcPr>
          <w:p w14:paraId="3443265F" w14:textId="77777777" w:rsidR="00BA232D" w:rsidRDefault="00000000">
            <w:pPr>
              <w:spacing w:after="40" w:line="240" w:lineRule="auto"/>
              <w:rPr>
                <w:rFonts w:cs="Arial"/>
              </w:rPr>
            </w:pPr>
            <w:r>
              <w:rPr>
                <w:rFonts w:cs="Arial"/>
                <w:sz w:val="17"/>
              </w:rPr>
              <w:t>Use document-grounded retrieval, mandatory source citations and local model evaluation.</w:t>
            </w:r>
          </w:p>
        </w:tc>
      </w:tr>
      <w:tr w:rsidR="00BA232D" w14:paraId="49792ACB" w14:textId="77777777">
        <w:trPr>
          <w:cantSplit/>
          <w:jc w:val="center"/>
        </w:trPr>
        <w:tc>
          <w:tcPr>
            <w:tcW w:w="2447" w:type="dxa"/>
            <w:shd w:val="clear" w:color="auto" w:fill="EAF1F7"/>
          </w:tcPr>
          <w:p w14:paraId="6D1EF7D5" w14:textId="77777777" w:rsidR="00BA232D" w:rsidRDefault="00000000">
            <w:pPr>
              <w:spacing w:after="40" w:line="240" w:lineRule="auto"/>
              <w:rPr>
                <w:rFonts w:cs="Arial"/>
              </w:rPr>
            </w:pPr>
            <w:r>
              <w:rPr>
                <w:rFonts w:cs="Arial"/>
                <w:sz w:val="17"/>
              </w:rPr>
              <w:t>AI governance and regulation</w:t>
            </w:r>
          </w:p>
        </w:tc>
        <w:tc>
          <w:tcPr>
            <w:tcW w:w="3601" w:type="dxa"/>
            <w:shd w:val="clear" w:color="auto" w:fill="EAF1F7"/>
          </w:tcPr>
          <w:p w14:paraId="58169FB0" w14:textId="77777777" w:rsidR="00BA232D" w:rsidRDefault="00000000">
            <w:pPr>
              <w:spacing w:after="40" w:line="240" w:lineRule="auto"/>
              <w:rPr>
                <w:rFonts w:cs="Arial"/>
              </w:rPr>
            </w:pPr>
            <w:r>
              <w:rPr>
                <w:rFonts w:cs="Arial"/>
                <w:sz w:val="17"/>
              </w:rPr>
              <w:t>Boards will require transparency, accountability and risk management before approving AI in governance workflows.</w:t>
            </w:r>
          </w:p>
        </w:tc>
        <w:tc>
          <w:tcPr>
            <w:tcW w:w="3312" w:type="dxa"/>
            <w:shd w:val="clear" w:color="auto" w:fill="EAF1F7"/>
          </w:tcPr>
          <w:p w14:paraId="76F8FFC5" w14:textId="77777777" w:rsidR="00BA232D" w:rsidRDefault="00000000">
            <w:pPr>
              <w:spacing w:after="40" w:line="240" w:lineRule="auto"/>
              <w:rPr>
                <w:rFonts w:cs="Arial"/>
              </w:rPr>
            </w:pPr>
            <w:r>
              <w:rPr>
                <w:rFonts w:cs="Arial"/>
                <w:sz w:val="17"/>
              </w:rPr>
              <w:t>Apply NIST, ISO/IEC 42001 and OECD-aligned controls, with audit logs and human sign-off.</w:t>
            </w:r>
          </w:p>
        </w:tc>
      </w:tr>
      <w:tr w:rsidR="00BA232D" w14:paraId="085531E7" w14:textId="77777777">
        <w:trPr>
          <w:cantSplit/>
          <w:jc w:val="center"/>
        </w:trPr>
        <w:tc>
          <w:tcPr>
            <w:tcW w:w="2447" w:type="dxa"/>
          </w:tcPr>
          <w:p w14:paraId="486B7BE5" w14:textId="77777777" w:rsidR="00BA232D" w:rsidRDefault="00000000">
            <w:pPr>
              <w:spacing w:after="40" w:line="240" w:lineRule="auto"/>
              <w:rPr>
                <w:rFonts w:cs="Arial"/>
              </w:rPr>
            </w:pPr>
            <w:r>
              <w:rPr>
                <w:rFonts w:cs="Arial"/>
                <w:sz w:val="17"/>
              </w:rPr>
              <w:t>Data sovereignty and geopolitical technology risk</w:t>
            </w:r>
          </w:p>
        </w:tc>
        <w:tc>
          <w:tcPr>
            <w:tcW w:w="3601" w:type="dxa"/>
          </w:tcPr>
          <w:p w14:paraId="5E7CEB56" w14:textId="77777777" w:rsidR="00BA232D" w:rsidRDefault="00000000">
            <w:pPr>
              <w:spacing w:after="40" w:line="240" w:lineRule="auto"/>
              <w:rPr>
                <w:rFonts w:cs="Arial"/>
              </w:rPr>
            </w:pPr>
            <w:r>
              <w:rPr>
                <w:rFonts w:cs="Arial"/>
                <w:sz w:val="17"/>
              </w:rPr>
              <w:t>Sensitive Board data should not move casually across external platforms or jurisdictions.</w:t>
            </w:r>
          </w:p>
        </w:tc>
        <w:tc>
          <w:tcPr>
            <w:tcW w:w="3312" w:type="dxa"/>
          </w:tcPr>
          <w:p w14:paraId="795D38B3" w14:textId="77777777" w:rsidR="00BA232D" w:rsidRDefault="00000000">
            <w:pPr>
              <w:spacing w:after="40" w:line="240" w:lineRule="auto"/>
              <w:rPr>
                <w:rFonts w:cs="Arial"/>
              </w:rPr>
            </w:pPr>
            <w:r>
              <w:rPr>
                <w:rFonts w:cs="Arial"/>
                <w:sz w:val="17"/>
              </w:rPr>
              <w:t>Local deployment, data isolation, model-agnostic architecture and no cross-client data sharing.</w:t>
            </w:r>
          </w:p>
        </w:tc>
      </w:tr>
      <w:tr w:rsidR="00BA232D" w14:paraId="0D0C36B6" w14:textId="77777777">
        <w:trPr>
          <w:cantSplit/>
          <w:jc w:val="center"/>
        </w:trPr>
        <w:tc>
          <w:tcPr>
            <w:tcW w:w="2447" w:type="dxa"/>
            <w:shd w:val="clear" w:color="auto" w:fill="EAF1F7"/>
          </w:tcPr>
          <w:p w14:paraId="47681C98" w14:textId="77777777" w:rsidR="00BA232D" w:rsidRDefault="00000000">
            <w:pPr>
              <w:spacing w:after="40" w:line="240" w:lineRule="auto"/>
              <w:rPr>
                <w:rFonts w:cs="Arial"/>
              </w:rPr>
            </w:pPr>
            <w:r>
              <w:rPr>
                <w:rFonts w:cs="Arial"/>
                <w:sz w:val="17"/>
              </w:rPr>
              <w:t>Post-Covid digital Board work</w:t>
            </w:r>
          </w:p>
        </w:tc>
        <w:tc>
          <w:tcPr>
            <w:tcW w:w="3601" w:type="dxa"/>
            <w:shd w:val="clear" w:color="auto" w:fill="EAF1F7"/>
          </w:tcPr>
          <w:p w14:paraId="001DDD79" w14:textId="77777777" w:rsidR="00BA232D" w:rsidRDefault="00000000">
            <w:pPr>
              <w:spacing w:after="40" w:line="240" w:lineRule="auto"/>
              <w:rPr>
                <w:rFonts w:cs="Arial"/>
              </w:rPr>
            </w:pPr>
            <w:r>
              <w:rPr>
                <w:rFonts w:cs="Arial"/>
                <w:sz w:val="17"/>
              </w:rPr>
              <w:t xml:space="preserve">Hybrid and distributed governance </w:t>
            </w:r>
            <w:proofErr w:type="gramStart"/>
            <w:r>
              <w:rPr>
                <w:rFonts w:cs="Arial"/>
                <w:sz w:val="17"/>
              </w:rPr>
              <w:t>increases</w:t>
            </w:r>
            <w:proofErr w:type="gramEnd"/>
            <w:r>
              <w:rPr>
                <w:rFonts w:cs="Arial"/>
                <w:sz w:val="17"/>
              </w:rPr>
              <w:t xml:space="preserve"> reliance on digital records, fast follow-up and corporate memory.</w:t>
            </w:r>
          </w:p>
        </w:tc>
        <w:tc>
          <w:tcPr>
            <w:tcW w:w="3312" w:type="dxa"/>
            <w:shd w:val="clear" w:color="auto" w:fill="EAF1F7"/>
          </w:tcPr>
          <w:p w14:paraId="14C60DCD" w14:textId="77777777" w:rsidR="00BA232D" w:rsidRDefault="00000000">
            <w:pPr>
              <w:spacing w:after="40" w:line="240" w:lineRule="auto"/>
              <w:rPr>
                <w:rFonts w:cs="Arial"/>
              </w:rPr>
            </w:pPr>
            <w:r>
              <w:rPr>
                <w:rFonts w:cs="Arial"/>
                <w:sz w:val="17"/>
              </w:rPr>
              <w:t>Persistent action tracker, searchable minutes and reusable onboarding packs.</w:t>
            </w:r>
          </w:p>
        </w:tc>
      </w:tr>
      <w:tr w:rsidR="00BA232D" w14:paraId="054D6B77" w14:textId="77777777">
        <w:trPr>
          <w:cantSplit/>
          <w:jc w:val="center"/>
        </w:trPr>
        <w:tc>
          <w:tcPr>
            <w:tcW w:w="2447" w:type="dxa"/>
          </w:tcPr>
          <w:p w14:paraId="289B9FAB" w14:textId="77777777" w:rsidR="00BA232D" w:rsidRDefault="00000000">
            <w:pPr>
              <w:spacing w:after="40" w:line="240" w:lineRule="auto"/>
              <w:rPr>
                <w:rFonts w:cs="Arial"/>
              </w:rPr>
            </w:pPr>
            <w:r>
              <w:rPr>
                <w:rFonts w:cs="Arial"/>
                <w:sz w:val="17"/>
              </w:rPr>
              <w:t>Sustainability and responsible technology</w:t>
            </w:r>
          </w:p>
        </w:tc>
        <w:tc>
          <w:tcPr>
            <w:tcW w:w="3601" w:type="dxa"/>
          </w:tcPr>
          <w:p w14:paraId="75492DF4" w14:textId="77777777" w:rsidR="00BA232D" w:rsidRDefault="00000000">
            <w:pPr>
              <w:spacing w:after="40" w:line="240" w:lineRule="auto"/>
              <w:rPr>
                <w:rFonts w:cs="Arial"/>
              </w:rPr>
            </w:pPr>
            <w:r>
              <w:rPr>
                <w:rFonts w:cs="Arial"/>
                <w:sz w:val="17"/>
              </w:rPr>
              <w:t>AI value must be balanced against energy use, over-processing and unnecessary automation.</w:t>
            </w:r>
          </w:p>
        </w:tc>
        <w:tc>
          <w:tcPr>
            <w:tcW w:w="3312" w:type="dxa"/>
          </w:tcPr>
          <w:p w14:paraId="1374DCF5" w14:textId="77777777" w:rsidR="00BA232D" w:rsidRDefault="00000000">
            <w:pPr>
              <w:spacing w:after="40" w:line="240" w:lineRule="auto"/>
              <w:rPr>
                <w:rFonts w:cs="Arial"/>
              </w:rPr>
            </w:pPr>
            <w:r>
              <w:rPr>
                <w:rFonts w:cs="Arial"/>
                <w:sz w:val="17"/>
              </w:rPr>
              <w:t>Retrieval-first design, smaller adequate models, data minimisation and measured compute use.</w:t>
            </w:r>
          </w:p>
        </w:tc>
      </w:tr>
    </w:tbl>
    <w:p w14:paraId="06205A26" w14:textId="77777777" w:rsidR="00BA232D" w:rsidRDefault="00BA232D"/>
    <w:p w14:paraId="222F13D6" w14:textId="77777777" w:rsidR="00BA232D" w:rsidRDefault="00BA232D">
      <w:pPr>
        <w:spacing w:after="200" w:line="276" w:lineRule="auto"/>
        <w:rPr>
          <w:rFonts w:cstheme="majorBidi"/>
          <w:b/>
          <w:bCs/>
          <w:color w:val="1F4E79"/>
          <w:sz w:val="32"/>
          <w:szCs w:val="28"/>
        </w:rPr>
      </w:pPr>
    </w:p>
    <w:p w14:paraId="42424A3A" w14:textId="77777777" w:rsidR="00FC130A" w:rsidRDefault="00FC130A">
      <w:pPr>
        <w:spacing w:after="0" w:line="240" w:lineRule="auto"/>
        <w:rPr>
          <w:rFonts w:cstheme="majorBidi"/>
          <w:b/>
          <w:bCs/>
          <w:color w:val="1F4E79"/>
          <w:sz w:val="32"/>
          <w:szCs w:val="28"/>
        </w:rPr>
      </w:pPr>
      <w:bookmarkStart w:id="14" w:name="_Toc234699803"/>
      <w:r>
        <w:br w:type="page"/>
      </w:r>
    </w:p>
    <w:p w14:paraId="0318BCC8" w14:textId="6D53C891" w:rsidR="00BA232D" w:rsidRDefault="00000000">
      <w:pPr>
        <w:pStyle w:val="Heading1"/>
        <w:spacing w:before="280" w:after="120"/>
      </w:pPr>
      <w:bookmarkStart w:id="15" w:name="_Toc234702405"/>
      <w:r>
        <w:rPr>
          <w:rFonts w:ascii="Arial" w:eastAsia="Arial" w:hAnsi="Arial"/>
        </w:rPr>
        <w:lastRenderedPageBreak/>
        <w:t>3. Critical Diagnosis: Why the Current Secretariat Model Is Fragile</w:t>
      </w:r>
      <w:bookmarkEnd w:id="14"/>
      <w:bookmarkEnd w:id="15"/>
    </w:p>
    <w:p w14:paraId="670EF56F" w14:textId="77777777" w:rsidR="00BA232D" w:rsidRDefault="00000000" w:rsidP="00FC130A">
      <w:pPr>
        <w:spacing w:line="276" w:lineRule="auto"/>
        <w:jc w:val="lowKashida"/>
      </w:pPr>
      <w:r>
        <w:t>The apparent symptoms of this situation are well-known. For example, agenda's will often omit important items as required by a charter, Board pack’s will be inconsistent in their level of detail, the minutes will either take an excessive amount of time to produce or provide inadequate detail, actions may be agreed upon but never formally closed, prior decision records can be difficult to access, and authority issues are sometimes resolved on the basis of recollection rather than through review of the delegation-of-authority matrix. The natural inclination is to believe that inexperienced Secretaries require additional training. While training is beneficial, it does not address the underlying problem which is structural.</w:t>
      </w:r>
    </w:p>
    <w:p w14:paraId="43EA86AE" w14:textId="77777777" w:rsidR="00BA232D" w:rsidRDefault="00000000" w:rsidP="00FC130A">
      <w:pPr>
        <w:spacing w:line="276" w:lineRule="auto"/>
        <w:jc w:val="lowKashida"/>
      </w:pPr>
      <w:r>
        <w:t xml:space="preserve">A good Board secretary </w:t>
      </w:r>
      <w:proofErr w:type="gramStart"/>
      <w:r>
        <w:t>has to</w:t>
      </w:r>
      <w:proofErr w:type="gramEnd"/>
      <w:r>
        <w:t xml:space="preserve"> be able to do many things; they </w:t>
      </w:r>
      <w:proofErr w:type="gramStart"/>
      <w:r>
        <w:t>have to</w:t>
      </w:r>
      <w:proofErr w:type="gramEnd"/>
      <w:r>
        <w:t xml:space="preserve"> prepare for meetings, follow procedures and keep records; remember the history of the company and track actions, meet stakeholders. They also need to know the mandate of each committee, who can act on behalf of whom with what authority, when all meetings are due, what prior agreements were made and when deadlines must be met. They need to know how the Chair and Directors like to think. The breadth of these responsibilities is outlined within the PIF Board Secretary </w:t>
      </w:r>
      <w:proofErr w:type="gramStart"/>
      <w:r>
        <w:t>Manual,</w:t>
      </w:r>
      <w:proofErr w:type="gramEnd"/>
      <w:r>
        <w:t xml:space="preserve"> however this manual can provide no substitute for the judgement that takes years to develop (Portfolio Companies Affairs Department, 2026b).</w:t>
      </w:r>
    </w:p>
    <w:p w14:paraId="173DAC83" w14:textId="77777777" w:rsidR="00BA232D" w:rsidRDefault="00000000" w:rsidP="00FC130A">
      <w:pPr>
        <w:spacing w:line="276" w:lineRule="auto"/>
        <w:jc w:val="lowKashida"/>
      </w:pPr>
      <w:r>
        <w:t>A key example in this regard is the "Board Nomination Handover" case from my own experience. At first glance, it seemed as if a problem with a timely handover was the result of poor employee performance. However, a brief root cause analysis revealed that the underlying cause of the issue was not a person, but rather a "broken task logic". There was no defined transition point for when employees moved from pre-Nomination to post appointment work, no single reference document existed, and no employee had been identified by management as being responsible for ensuring that a handover occurred. Therefore, the corrective action was to create a handover package and tracking procedure, which would provide end-to-end visibility of the process. It did not involve a disciplinary action against the employee (Portfolio Companies Affairs Department, 2026a). The proposal applies the same logic to the secretariat function.</w:t>
      </w:r>
    </w:p>
    <w:p w14:paraId="340FD543" w14:textId="77777777" w:rsidR="00BA232D" w:rsidRDefault="00000000" w:rsidP="00FC130A">
      <w:pPr>
        <w:spacing w:line="276" w:lineRule="auto"/>
        <w:jc w:val="lowKashida"/>
      </w:pPr>
      <w:r>
        <w:t>There are also reflective elements within my own practice. Often when dealing with complex governance issues, I will provide a solution by delivering a very well written product: the decision paper, risk note, hand-over pack or brief. While this can be effective under time constraints it does not represent a viable long-term governance strategy for how one would develop leaders (Dossa, 2026c). Therefore, the purpose of the proposed platform is to create a process that will allow the method to be visualized, taught and reused. Ultimately the criteria of whether the proposed platform was successful is not based upon building a wonderful tool but rather if there is less reliance on individual experts and specifically myself regarding the delivery of good governance.</w:t>
      </w:r>
    </w:p>
    <w:p w14:paraId="5E75439B" w14:textId="77777777" w:rsidR="00BA232D" w:rsidRDefault="00000000">
      <w:pPr>
        <w:pStyle w:val="Caption"/>
        <w:spacing w:before="120" w:after="40"/>
      </w:pPr>
      <w:r>
        <w:t>Table 2. Separating symptoms from structural causes and design responses.</w:t>
      </w:r>
    </w:p>
    <w:tbl>
      <w:tblPr>
        <w:tblStyle w:val="TableGrid"/>
        <w:tblW w:w="9720" w:type="dxa"/>
        <w:jc w:val="center"/>
        <w:tblLayout w:type="fixed"/>
        <w:tblLook w:val="04A0" w:firstRow="1" w:lastRow="0" w:firstColumn="1" w:lastColumn="0" w:noHBand="0" w:noVBand="1"/>
      </w:tblPr>
      <w:tblGrid>
        <w:gridCol w:w="2088"/>
        <w:gridCol w:w="2232"/>
        <w:gridCol w:w="2880"/>
        <w:gridCol w:w="2520"/>
      </w:tblGrid>
      <w:tr w:rsidR="00BA232D" w14:paraId="319B4B8E" w14:textId="77777777">
        <w:trPr>
          <w:cantSplit/>
          <w:tblHeader/>
          <w:jc w:val="center"/>
        </w:trPr>
        <w:tc>
          <w:tcPr>
            <w:tcW w:w="2087" w:type="dxa"/>
            <w:shd w:val="clear" w:color="auto" w:fill="1F4E79"/>
          </w:tcPr>
          <w:p w14:paraId="53AF6A19" w14:textId="77777777" w:rsidR="00BA232D" w:rsidRDefault="00000000">
            <w:pPr>
              <w:spacing w:after="40" w:line="240" w:lineRule="auto"/>
              <w:rPr>
                <w:rFonts w:cs="Arial"/>
              </w:rPr>
            </w:pPr>
            <w:r>
              <w:rPr>
                <w:rFonts w:cs="Arial"/>
                <w:b/>
                <w:color w:val="FFFFFF"/>
                <w:sz w:val="17"/>
              </w:rPr>
              <w:t>Observed symptom</w:t>
            </w:r>
          </w:p>
        </w:tc>
        <w:tc>
          <w:tcPr>
            <w:tcW w:w="2232" w:type="dxa"/>
            <w:shd w:val="clear" w:color="auto" w:fill="1F4E79"/>
          </w:tcPr>
          <w:p w14:paraId="0B86244A" w14:textId="77777777" w:rsidR="00BA232D" w:rsidRDefault="00000000">
            <w:pPr>
              <w:spacing w:after="40" w:line="240" w:lineRule="auto"/>
              <w:rPr>
                <w:rFonts w:cs="Arial"/>
              </w:rPr>
            </w:pPr>
            <w:r>
              <w:rPr>
                <w:rFonts w:cs="Arial"/>
                <w:b/>
                <w:color w:val="FFFFFF"/>
                <w:sz w:val="17"/>
              </w:rPr>
              <w:t>Tempting but incomplete reading</w:t>
            </w:r>
          </w:p>
        </w:tc>
        <w:tc>
          <w:tcPr>
            <w:tcW w:w="2880" w:type="dxa"/>
            <w:shd w:val="clear" w:color="auto" w:fill="1F4E79"/>
          </w:tcPr>
          <w:p w14:paraId="342AF13E" w14:textId="77777777" w:rsidR="00BA232D" w:rsidRDefault="00000000">
            <w:pPr>
              <w:spacing w:after="40" w:line="240" w:lineRule="auto"/>
              <w:rPr>
                <w:rFonts w:cs="Arial"/>
              </w:rPr>
            </w:pPr>
            <w:r>
              <w:rPr>
                <w:rFonts w:cs="Arial"/>
                <w:b/>
                <w:color w:val="FFFFFF"/>
                <w:sz w:val="17"/>
              </w:rPr>
              <w:t>Structural root cause</w:t>
            </w:r>
          </w:p>
        </w:tc>
        <w:tc>
          <w:tcPr>
            <w:tcW w:w="2520" w:type="dxa"/>
            <w:shd w:val="clear" w:color="auto" w:fill="1F4E79"/>
          </w:tcPr>
          <w:p w14:paraId="6E75A080" w14:textId="77777777" w:rsidR="00BA232D" w:rsidRDefault="00000000">
            <w:pPr>
              <w:spacing w:after="40" w:line="240" w:lineRule="auto"/>
              <w:rPr>
                <w:rFonts w:cs="Arial"/>
              </w:rPr>
            </w:pPr>
            <w:r>
              <w:rPr>
                <w:rFonts w:cs="Arial"/>
                <w:b/>
                <w:color w:val="FFFFFF"/>
                <w:sz w:val="17"/>
              </w:rPr>
              <w:t>Platform response</w:t>
            </w:r>
          </w:p>
        </w:tc>
      </w:tr>
      <w:tr w:rsidR="00BA232D" w14:paraId="3021DEF2" w14:textId="77777777">
        <w:trPr>
          <w:cantSplit/>
          <w:jc w:val="center"/>
        </w:trPr>
        <w:tc>
          <w:tcPr>
            <w:tcW w:w="2087" w:type="dxa"/>
          </w:tcPr>
          <w:p w14:paraId="2DAE6692" w14:textId="77777777" w:rsidR="00BA232D" w:rsidRDefault="00000000">
            <w:pPr>
              <w:spacing w:after="40" w:line="240" w:lineRule="auto"/>
              <w:rPr>
                <w:rFonts w:cs="Arial"/>
              </w:rPr>
            </w:pPr>
            <w:r>
              <w:rPr>
                <w:rFonts w:cs="Arial"/>
                <w:sz w:val="17"/>
              </w:rPr>
              <w:t>Charter items missed from agendas</w:t>
            </w:r>
          </w:p>
        </w:tc>
        <w:tc>
          <w:tcPr>
            <w:tcW w:w="2232" w:type="dxa"/>
          </w:tcPr>
          <w:p w14:paraId="16A1BCAB" w14:textId="77777777" w:rsidR="00BA232D" w:rsidRDefault="00000000">
            <w:pPr>
              <w:spacing w:after="40" w:line="240" w:lineRule="auto"/>
              <w:rPr>
                <w:rFonts w:cs="Arial"/>
              </w:rPr>
            </w:pPr>
            <w:r>
              <w:rPr>
                <w:rFonts w:cs="Arial"/>
                <w:sz w:val="17"/>
              </w:rPr>
              <w:t>The secretary was not diligent enough.</w:t>
            </w:r>
          </w:p>
        </w:tc>
        <w:tc>
          <w:tcPr>
            <w:tcW w:w="2880" w:type="dxa"/>
          </w:tcPr>
          <w:p w14:paraId="55CFA67D" w14:textId="77777777" w:rsidR="00BA232D" w:rsidRDefault="00000000">
            <w:pPr>
              <w:spacing w:after="40" w:line="240" w:lineRule="auto"/>
              <w:rPr>
                <w:rFonts w:cs="Arial"/>
              </w:rPr>
            </w:pPr>
            <w:r>
              <w:rPr>
                <w:rFonts w:cs="Arial"/>
                <w:sz w:val="17"/>
              </w:rPr>
              <w:t>No systematic link between charters, work plans and agenda preparation.</w:t>
            </w:r>
          </w:p>
        </w:tc>
        <w:tc>
          <w:tcPr>
            <w:tcW w:w="2520" w:type="dxa"/>
          </w:tcPr>
          <w:p w14:paraId="1A32F65C" w14:textId="77777777" w:rsidR="00BA232D" w:rsidRDefault="00000000">
            <w:pPr>
              <w:spacing w:after="40" w:line="240" w:lineRule="auto"/>
              <w:rPr>
                <w:rFonts w:cs="Arial"/>
              </w:rPr>
            </w:pPr>
            <w:r>
              <w:rPr>
                <w:rFonts w:cs="Arial"/>
                <w:sz w:val="17"/>
              </w:rPr>
              <w:t>Agenda generator pulls charter-mandated items and open actions into each cycle.</w:t>
            </w:r>
          </w:p>
        </w:tc>
      </w:tr>
      <w:tr w:rsidR="00BA232D" w14:paraId="3D5AA0E2" w14:textId="77777777">
        <w:trPr>
          <w:cantSplit/>
          <w:jc w:val="center"/>
        </w:trPr>
        <w:tc>
          <w:tcPr>
            <w:tcW w:w="2087" w:type="dxa"/>
            <w:shd w:val="clear" w:color="auto" w:fill="EAF1F7"/>
          </w:tcPr>
          <w:p w14:paraId="1E72B43F" w14:textId="77777777" w:rsidR="00BA232D" w:rsidRDefault="00000000">
            <w:pPr>
              <w:spacing w:after="40" w:line="240" w:lineRule="auto"/>
              <w:rPr>
                <w:rFonts w:cs="Arial"/>
              </w:rPr>
            </w:pPr>
            <w:r>
              <w:rPr>
                <w:rFonts w:cs="Arial"/>
                <w:sz w:val="17"/>
              </w:rPr>
              <w:t>Minutes are slow or inconsistent</w:t>
            </w:r>
          </w:p>
        </w:tc>
        <w:tc>
          <w:tcPr>
            <w:tcW w:w="2232" w:type="dxa"/>
            <w:shd w:val="clear" w:color="auto" w:fill="EAF1F7"/>
          </w:tcPr>
          <w:p w14:paraId="31798F8F" w14:textId="77777777" w:rsidR="00BA232D" w:rsidRDefault="00000000">
            <w:pPr>
              <w:spacing w:after="40" w:line="240" w:lineRule="auto"/>
              <w:rPr>
                <w:rFonts w:cs="Arial"/>
              </w:rPr>
            </w:pPr>
            <w:r>
              <w:rPr>
                <w:rFonts w:cs="Arial"/>
                <w:sz w:val="17"/>
              </w:rPr>
              <w:t>The secretary lacks drafting skill.</w:t>
            </w:r>
          </w:p>
        </w:tc>
        <w:tc>
          <w:tcPr>
            <w:tcW w:w="2880" w:type="dxa"/>
            <w:shd w:val="clear" w:color="auto" w:fill="EAF1F7"/>
          </w:tcPr>
          <w:p w14:paraId="1F851D0B" w14:textId="77777777" w:rsidR="00BA232D" w:rsidRDefault="00000000">
            <w:pPr>
              <w:spacing w:after="40" w:line="240" w:lineRule="auto"/>
              <w:rPr>
                <w:rFonts w:cs="Arial"/>
              </w:rPr>
            </w:pPr>
            <w:r>
              <w:rPr>
                <w:rFonts w:cs="Arial"/>
                <w:sz w:val="17"/>
              </w:rPr>
              <w:t>The record depends on individual style and memory.</w:t>
            </w:r>
          </w:p>
        </w:tc>
        <w:tc>
          <w:tcPr>
            <w:tcW w:w="2520" w:type="dxa"/>
            <w:shd w:val="clear" w:color="auto" w:fill="EAF1F7"/>
          </w:tcPr>
          <w:p w14:paraId="50B7FC65" w14:textId="77777777" w:rsidR="00BA232D" w:rsidRDefault="00000000">
            <w:pPr>
              <w:spacing w:after="40" w:line="240" w:lineRule="auto"/>
              <w:rPr>
                <w:rFonts w:cs="Arial"/>
              </w:rPr>
            </w:pPr>
            <w:r>
              <w:rPr>
                <w:rFonts w:cs="Arial"/>
                <w:sz w:val="17"/>
              </w:rPr>
              <w:t>First-draft minutes in house style, with human review and sign-off.</w:t>
            </w:r>
          </w:p>
        </w:tc>
      </w:tr>
      <w:tr w:rsidR="00BA232D" w14:paraId="64B32B81" w14:textId="77777777">
        <w:trPr>
          <w:cantSplit/>
          <w:jc w:val="center"/>
        </w:trPr>
        <w:tc>
          <w:tcPr>
            <w:tcW w:w="2087" w:type="dxa"/>
          </w:tcPr>
          <w:p w14:paraId="58DAD10C" w14:textId="77777777" w:rsidR="00BA232D" w:rsidRDefault="00000000">
            <w:pPr>
              <w:spacing w:after="40" w:line="240" w:lineRule="auto"/>
              <w:rPr>
                <w:rFonts w:cs="Arial"/>
              </w:rPr>
            </w:pPr>
            <w:r>
              <w:rPr>
                <w:rFonts w:cs="Arial"/>
                <w:sz w:val="17"/>
              </w:rPr>
              <w:t>Actions are lost across meetings</w:t>
            </w:r>
          </w:p>
        </w:tc>
        <w:tc>
          <w:tcPr>
            <w:tcW w:w="2232" w:type="dxa"/>
          </w:tcPr>
          <w:p w14:paraId="5D92961E" w14:textId="77777777" w:rsidR="00BA232D" w:rsidRDefault="00000000">
            <w:pPr>
              <w:spacing w:after="40" w:line="240" w:lineRule="auto"/>
              <w:rPr>
                <w:rFonts w:cs="Arial"/>
              </w:rPr>
            </w:pPr>
            <w:r>
              <w:rPr>
                <w:rFonts w:cs="Arial"/>
                <w:sz w:val="17"/>
              </w:rPr>
              <w:t>Owners do not follow up.</w:t>
            </w:r>
          </w:p>
        </w:tc>
        <w:tc>
          <w:tcPr>
            <w:tcW w:w="2880" w:type="dxa"/>
          </w:tcPr>
          <w:p w14:paraId="5B95F827" w14:textId="77777777" w:rsidR="00BA232D" w:rsidRDefault="00000000">
            <w:pPr>
              <w:spacing w:after="40" w:line="240" w:lineRule="auto"/>
              <w:rPr>
                <w:rFonts w:cs="Arial"/>
              </w:rPr>
            </w:pPr>
            <w:r>
              <w:rPr>
                <w:rFonts w:cs="Arial"/>
                <w:sz w:val="17"/>
              </w:rPr>
              <w:t>There is no persistent action memory connected to the next agenda.</w:t>
            </w:r>
          </w:p>
        </w:tc>
        <w:tc>
          <w:tcPr>
            <w:tcW w:w="2520" w:type="dxa"/>
          </w:tcPr>
          <w:p w14:paraId="235DE8A8" w14:textId="77777777" w:rsidR="00BA232D" w:rsidRDefault="00000000">
            <w:pPr>
              <w:spacing w:after="40" w:line="240" w:lineRule="auto"/>
              <w:rPr>
                <w:rFonts w:cs="Arial"/>
              </w:rPr>
            </w:pPr>
            <w:r>
              <w:rPr>
                <w:rFonts w:cs="Arial"/>
                <w:sz w:val="17"/>
              </w:rPr>
              <w:t>Decision and action tracker with owners, due dates, ageing and carry-forward.</w:t>
            </w:r>
          </w:p>
        </w:tc>
      </w:tr>
      <w:tr w:rsidR="00BA232D" w14:paraId="034E619E" w14:textId="77777777">
        <w:trPr>
          <w:cantSplit/>
          <w:jc w:val="center"/>
        </w:trPr>
        <w:tc>
          <w:tcPr>
            <w:tcW w:w="2087" w:type="dxa"/>
            <w:shd w:val="clear" w:color="auto" w:fill="EAF1F7"/>
          </w:tcPr>
          <w:p w14:paraId="4898CFBA" w14:textId="77777777" w:rsidR="00BA232D" w:rsidRDefault="00000000">
            <w:pPr>
              <w:spacing w:after="40" w:line="240" w:lineRule="auto"/>
              <w:rPr>
                <w:rFonts w:cs="Arial"/>
              </w:rPr>
            </w:pPr>
            <w:r>
              <w:rPr>
                <w:rFonts w:cs="Arial"/>
                <w:sz w:val="17"/>
              </w:rPr>
              <w:t>Authority questions answered from memory</w:t>
            </w:r>
          </w:p>
        </w:tc>
        <w:tc>
          <w:tcPr>
            <w:tcW w:w="2232" w:type="dxa"/>
            <w:shd w:val="clear" w:color="auto" w:fill="EAF1F7"/>
          </w:tcPr>
          <w:p w14:paraId="2965E093" w14:textId="77777777" w:rsidR="00BA232D" w:rsidRDefault="00000000">
            <w:pPr>
              <w:spacing w:after="40" w:line="240" w:lineRule="auto"/>
              <w:rPr>
                <w:rFonts w:cs="Arial"/>
              </w:rPr>
            </w:pPr>
            <w:r>
              <w:rPr>
                <w:rFonts w:cs="Arial"/>
                <w:sz w:val="17"/>
              </w:rPr>
              <w:t>More training is required.</w:t>
            </w:r>
          </w:p>
        </w:tc>
        <w:tc>
          <w:tcPr>
            <w:tcW w:w="2880" w:type="dxa"/>
            <w:shd w:val="clear" w:color="auto" w:fill="EAF1F7"/>
          </w:tcPr>
          <w:p w14:paraId="44651E40" w14:textId="77777777" w:rsidR="00BA232D" w:rsidRDefault="00000000">
            <w:pPr>
              <w:spacing w:after="40" w:line="240" w:lineRule="auto"/>
              <w:rPr>
                <w:rFonts w:cs="Arial"/>
              </w:rPr>
            </w:pPr>
            <w:r>
              <w:rPr>
                <w:rFonts w:cs="Arial"/>
                <w:sz w:val="17"/>
              </w:rPr>
              <w:t xml:space="preserve">No live, cited access to the </w:t>
            </w:r>
            <w:proofErr w:type="spellStart"/>
            <w:r>
              <w:rPr>
                <w:rFonts w:cs="Arial"/>
                <w:sz w:val="17"/>
              </w:rPr>
              <w:t>DoA</w:t>
            </w:r>
            <w:proofErr w:type="spellEnd"/>
            <w:r>
              <w:rPr>
                <w:rFonts w:cs="Arial"/>
                <w:sz w:val="17"/>
              </w:rPr>
              <w:t xml:space="preserve"> and charters at the point of decision.</w:t>
            </w:r>
          </w:p>
        </w:tc>
        <w:tc>
          <w:tcPr>
            <w:tcW w:w="2520" w:type="dxa"/>
            <w:shd w:val="clear" w:color="auto" w:fill="EAF1F7"/>
          </w:tcPr>
          <w:p w14:paraId="76465596" w14:textId="77777777" w:rsidR="00BA232D" w:rsidRDefault="00000000">
            <w:pPr>
              <w:spacing w:after="40" w:line="240" w:lineRule="auto"/>
              <w:rPr>
                <w:rFonts w:cs="Arial"/>
              </w:rPr>
            </w:pPr>
            <w:r>
              <w:rPr>
                <w:rFonts w:cs="Arial"/>
                <w:sz w:val="17"/>
              </w:rPr>
              <w:t>Grounded Q&amp;A cites the exact clause or says the answer is not found.</w:t>
            </w:r>
          </w:p>
        </w:tc>
      </w:tr>
      <w:tr w:rsidR="00BA232D" w14:paraId="0EC14B78" w14:textId="77777777">
        <w:trPr>
          <w:cantSplit/>
          <w:jc w:val="center"/>
        </w:trPr>
        <w:tc>
          <w:tcPr>
            <w:tcW w:w="2087" w:type="dxa"/>
          </w:tcPr>
          <w:p w14:paraId="7103A344" w14:textId="77777777" w:rsidR="00BA232D" w:rsidRDefault="00000000">
            <w:pPr>
              <w:spacing w:after="40" w:line="240" w:lineRule="auto"/>
              <w:rPr>
                <w:rFonts w:cs="Arial"/>
              </w:rPr>
            </w:pPr>
            <w:r>
              <w:rPr>
                <w:rFonts w:cs="Arial"/>
                <w:sz w:val="17"/>
              </w:rPr>
              <w:lastRenderedPageBreak/>
              <w:t>Handover creates fragility</w:t>
            </w:r>
          </w:p>
        </w:tc>
        <w:tc>
          <w:tcPr>
            <w:tcW w:w="2232" w:type="dxa"/>
          </w:tcPr>
          <w:p w14:paraId="339B62BD" w14:textId="77777777" w:rsidR="00BA232D" w:rsidRDefault="00000000">
            <w:pPr>
              <w:spacing w:after="40" w:line="240" w:lineRule="auto"/>
              <w:rPr>
                <w:rFonts w:cs="Arial"/>
              </w:rPr>
            </w:pPr>
            <w:r>
              <w:rPr>
                <w:rFonts w:cs="Arial"/>
                <w:sz w:val="17"/>
              </w:rPr>
              <w:t>Continuity planning is weak.</w:t>
            </w:r>
          </w:p>
        </w:tc>
        <w:tc>
          <w:tcPr>
            <w:tcW w:w="2880" w:type="dxa"/>
          </w:tcPr>
          <w:p w14:paraId="6B27C0F4" w14:textId="77777777" w:rsidR="00BA232D" w:rsidRDefault="00000000">
            <w:pPr>
              <w:spacing w:after="40" w:line="240" w:lineRule="auto"/>
              <w:rPr>
                <w:rFonts w:cs="Arial"/>
              </w:rPr>
            </w:pPr>
            <w:r>
              <w:rPr>
                <w:rFonts w:cs="Arial"/>
                <w:sz w:val="17"/>
              </w:rPr>
              <w:t>Corporate memory lives in one person or inbox.</w:t>
            </w:r>
          </w:p>
        </w:tc>
        <w:tc>
          <w:tcPr>
            <w:tcW w:w="2520" w:type="dxa"/>
          </w:tcPr>
          <w:p w14:paraId="6F2237BD" w14:textId="77777777" w:rsidR="00BA232D" w:rsidRDefault="00000000">
            <w:pPr>
              <w:spacing w:after="40" w:line="240" w:lineRule="auto"/>
              <w:rPr>
                <w:rFonts w:cs="Arial"/>
              </w:rPr>
            </w:pPr>
            <w:r>
              <w:rPr>
                <w:rFonts w:cs="Arial"/>
                <w:sz w:val="17"/>
              </w:rPr>
              <w:t>Searchable history, onboarding packs and structured decision registers.</w:t>
            </w:r>
          </w:p>
        </w:tc>
      </w:tr>
    </w:tbl>
    <w:p w14:paraId="2878ED2C" w14:textId="77777777" w:rsidR="00BA232D" w:rsidRDefault="00BA232D"/>
    <w:p w14:paraId="422F7BC3" w14:textId="77777777" w:rsidR="00BA232D" w:rsidRDefault="00BA232D">
      <w:pPr>
        <w:spacing w:after="200" w:line="276" w:lineRule="auto"/>
        <w:rPr>
          <w:rFonts w:cstheme="majorBidi"/>
          <w:b/>
          <w:bCs/>
          <w:color w:val="1F4E79"/>
          <w:sz w:val="32"/>
          <w:szCs w:val="28"/>
        </w:rPr>
      </w:pPr>
    </w:p>
    <w:p w14:paraId="515AF63F" w14:textId="77777777" w:rsidR="00FC130A" w:rsidRDefault="00FC130A">
      <w:pPr>
        <w:spacing w:after="0" w:line="240" w:lineRule="auto"/>
        <w:rPr>
          <w:rFonts w:cstheme="majorBidi"/>
          <w:b/>
          <w:bCs/>
          <w:color w:val="1F4E79"/>
          <w:sz w:val="32"/>
          <w:szCs w:val="28"/>
        </w:rPr>
      </w:pPr>
      <w:bookmarkStart w:id="16" w:name="_Toc234699804"/>
      <w:r>
        <w:br w:type="page"/>
      </w:r>
    </w:p>
    <w:p w14:paraId="32ABCC52" w14:textId="04266E1D" w:rsidR="00BA232D" w:rsidRDefault="00000000" w:rsidP="00FC130A">
      <w:pPr>
        <w:pStyle w:val="Heading1"/>
        <w:spacing w:before="280" w:after="120"/>
        <w:jc w:val="lowKashida"/>
      </w:pPr>
      <w:bookmarkStart w:id="17" w:name="_Toc234702406"/>
      <w:r>
        <w:rPr>
          <w:rFonts w:ascii="Arial" w:eastAsia="Arial" w:hAnsi="Arial"/>
        </w:rPr>
        <w:lastRenderedPageBreak/>
        <w:t>4. Options and Alternative Approaches</w:t>
      </w:r>
      <w:bookmarkEnd w:id="16"/>
      <w:bookmarkEnd w:id="17"/>
    </w:p>
    <w:p w14:paraId="03CA2F86" w14:textId="77777777" w:rsidR="00BA232D" w:rsidRDefault="00000000" w:rsidP="00FC130A">
      <w:pPr>
        <w:spacing w:line="276" w:lineRule="auto"/>
        <w:jc w:val="lowKashida"/>
      </w:pPr>
      <w:r>
        <w:t>Several alternatives were used to test this proposed approach. Senior managers need to know that there is no one way of addressing the issues identified by the structural diagnosis. Rather, they need to identify an option that will effectively address the issues that have been identified within the boundaries defined above.</w:t>
      </w:r>
    </w:p>
    <w:p w14:paraId="7E8DD0F6" w14:textId="77777777" w:rsidR="00BA232D" w:rsidRDefault="00000000" w:rsidP="00FC130A">
      <w:pPr>
        <w:pStyle w:val="Heading2"/>
        <w:spacing w:before="200"/>
        <w:jc w:val="lowKashida"/>
      </w:pPr>
      <w:bookmarkStart w:id="18" w:name="_Toc234699805"/>
      <w:bookmarkStart w:id="19" w:name="_Toc234702407"/>
      <w:r>
        <w:rPr>
          <w:rFonts w:ascii="Arial" w:eastAsia="Arial" w:hAnsi="Arial"/>
        </w:rPr>
        <w:t>4.1 Option A: Secretariat academy, mentoring and templates</w:t>
      </w:r>
      <w:bookmarkEnd w:id="18"/>
      <w:bookmarkEnd w:id="19"/>
    </w:p>
    <w:p w14:paraId="219670CB" w14:textId="77777777" w:rsidR="00BA232D" w:rsidRDefault="00000000" w:rsidP="00FC130A">
      <w:pPr>
        <w:spacing w:line="276" w:lineRule="auto"/>
        <w:jc w:val="lowKashida"/>
      </w:pPr>
      <w:r>
        <w:t>This option is a people development strategy. Although it is lower risk compared to developing new software tools, it has a greater cultural familiarity for PCAD staff. Given PCAD’s remit for building capability, then investing in people skills will always be part of any solution. Nevertheless, it is an internal solution to how knowledge is retained and delivered within individual companies. Therefore, although this option improves the competence of the Board Secretary, it does not develop a permanent institutional memory that the Company Board can rely upon.</w:t>
      </w:r>
    </w:p>
    <w:p w14:paraId="2371E64D" w14:textId="77777777" w:rsidR="00BA232D" w:rsidRDefault="00000000" w:rsidP="00FC130A">
      <w:pPr>
        <w:pStyle w:val="Heading2"/>
        <w:spacing w:before="200"/>
        <w:jc w:val="lowKashida"/>
      </w:pPr>
      <w:bookmarkStart w:id="20" w:name="_Toc234699806"/>
      <w:bookmarkStart w:id="21" w:name="_Toc234702408"/>
      <w:r>
        <w:rPr>
          <w:rFonts w:ascii="Arial" w:eastAsia="Arial" w:hAnsi="Arial"/>
        </w:rPr>
        <w:t>4.2 Option B: Central shared secretariat service</w:t>
      </w:r>
      <w:bookmarkEnd w:id="20"/>
      <w:bookmarkEnd w:id="21"/>
    </w:p>
    <w:p w14:paraId="639CE78B" w14:textId="77777777" w:rsidR="00BA232D" w:rsidRDefault="00000000" w:rsidP="00FC130A">
      <w:pPr>
        <w:spacing w:line="276" w:lineRule="auto"/>
        <w:jc w:val="lowKashida"/>
      </w:pPr>
      <w:r>
        <w:t>In terms of improving consistency at speed, this option represents a better opportunity for improvement than Option A. In terms of risk however, this is clearly higher. There are potential risks associated with the boundary and confidentiality between the companies and PCAD. Furthermore, as PCAD becomes increasingly involved in delivering operational services, so dependency may grow. As well as being inappropriate from a compliance perspective, sensitive Board materials will now be available in a broader context than previously. Clearly this is not a good direction for a shareholder interface whose reputation relies on maintaining the independence of its relationship with the company Board.</w:t>
      </w:r>
    </w:p>
    <w:p w14:paraId="156BBBF4" w14:textId="77777777" w:rsidR="00BA232D" w:rsidRDefault="00000000" w:rsidP="00FC130A">
      <w:pPr>
        <w:pStyle w:val="Heading2"/>
        <w:spacing w:before="200"/>
        <w:jc w:val="lowKashida"/>
      </w:pPr>
      <w:bookmarkStart w:id="22" w:name="_Toc234699807"/>
      <w:bookmarkStart w:id="23" w:name="_Toc234702409"/>
      <w:r>
        <w:rPr>
          <w:rFonts w:ascii="Arial" w:eastAsia="Arial" w:hAnsi="Arial"/>
        </w:rPr>
        <w:t>4.3 Option C: Secretariat-in-a-Box</w:t>
      </w:r>
      <w:bookmarkEnd w:id="22"/>
      <w:bookmarkEnd w:id="23"/>
    </w:p>
    <w:p w14:paraId="61164E2A" w14:textId="77777777" w:rsidR="00BA232D" w:rsidRDefault="00000000" w:rsidP="00FC130A">
      <w:pPr>
        <w:spacing w:line="276" w:lineRule="auto"/>
        <w:jc w:val="lowKashida"/>
      </w:pPr>
      <w:r>
        <w:t>As stated earlier, the advantage of Secretariat-in-a-Box over the previous two options is that it delivers the capability directly into each company where the capability resides. Each company therefore has the capability to read their own documents and to support their Board Secretary in carrying out their duties. PCAD therefore retains control of setting standards, supporting configuration, providing adoption coaching and learning lessons from multiple companies’ experiences to improve governance practices in aggregate.</w:t>
      </w:r>
    </w:p>
    <w:p w14:paraId="2FC188E3" w14:textId="77777777" w:rsidR="00BA232D" w:rsidRDefault="00000000">
      <w:pPr>
        <w:pStyle w:val="Caption"/>
        <w:spacing w:before="120" w:after="40"/>
      </w:pPr>
      <w:r>
        <w:t>Table 3. Comparison of strategic options.</w:t>
      </w:r>
    </w:p>
    <w:tbl>
      <w:tblPr>
        <w:tblStyle w:val="TableGrid"/>
        <w:tblW w:w="9736" w:type="dxa"/>
        <w:jc w:val="center"/>
        <w:tblLayout w:type="fixed"/>
        <w:tblLook w:val="04A0" w:firstRow="1" w:lastRow="0" w:firstColumn="1" w:lastColumn="0" w:noHBand="0" w:noVBand="1"/>
      </w:tblPr>
      <w:tblGrid>
        <w:gridCol w:w="2117"/>
        <w:gridCol w:w="2821"/>
        <w:gridCol w:w="2954"/>
        <w:gridCol w:w="1844"/>
      </w:tblGrid>
      <w:tr w:rsidR="00BA232D" w14:paraId="375F5E03" w14:textId="77777777">
        <w:trPr>
          <w:cantSplit/>
          <w:tblHeader/>
          <w:jc w:val="center"/>
        </w:trPr>
        <w:tc>
          <w:tcPr>
            <w:tcW w:w="2116" w:type="dxa"/>
            <w:shd w:val="clear" w:color="auto" w:fill="1F4E79"/>
          </w:tcPr>
          <w:p w14:paraId="2EAD27F6" w14:textId="77777777" w:rsidR="00BA232D" w:rsidRDefault="00000000">
            <w:pPr>
              <w:spacing w:after="40" w:line="240" w:lineRule="auto"/>
              <w:rPr>
                <w:rFonts w:cs="Arial"/>
              </w:rPr>
            </w:pPr>
            <w:r>
              <w:rPr>
                <w:rFonts w:cs="Arial"/>
                <w:b/>
                <w:color w:val="FFFFFF"/>
                <w:sz w:val="17"/>
              </w:rPr>
              <w:t>Option</w:t>
            </w:r>
          </w:p>
        </w:tc>
        <w:tc>
          <w:tcPr>
            <w:tcW w:w="2821" w:type="dxa"/>
            <w:shd w:val="clear" w:color="auto" w:fill="1F4E79"/>
          </w:tcPr>
          <w:p w14:paraId="43E2C463" w14:textId="77777777" w:rsidR="00BA232D" w:rsidRDefault="00000000">
            <w:pPr>
              <w:spacing w:after="40" w:line="240" w:lineRule="auto"/>
              <w:rPr>
                <w:rFonts w:cs="Arial"/>
              </w:rPr>
            </w:pPr>
            <w:r>
              <w:rPr>
                <w:rFonts w:cs="Arial"/>
                <w:b/>
                <w:color w:val="FFFFFF"/>
                <w:sz w:val="17"/>
              </w:rPr>
              <w:t>Main benefit</w:t>
            </w:r>
          </w:p>
        </w:tc>
        <w:tc>
          <w:tcPr>
            <w:tcW w:w="2954" w:type="dxa"/>
            <w:shd w:val="clear" w:color="auto" w:fill="1F4E79"/>
          </w:tcPr>
          <w:p w14:paraId="6D94D065" w14:textId="77777777" w:rsidR="00BA232D" w:rsidRDefault="00000000">
            <w:pPr>
              <w:spacing w:after="40" w:line="240" w:lineRule="auto"/>
              <w:rPr>
                <w:rFonts w:cs="Arial"/>
              </w:rPr>
            </w:pPr>
            <w:r>
              <w:rPr>
                <w:rFonts w:cs="Arial"/>
                <w:b/>
                <w:color w:val="FFFFFF"/>
                <w:sz w:val="17"/>
              </w:rPr>
              <w:t>Main limitation</w:t>
            </w:r>
          </w:p>
        </w:tc>
        <w:tc>
          <w:tcPr>
            <w:tcW w:w="1844" w:type="dxa"/>
            <w:shd w:val="clear" w:color="auto" w:fill="1F4E79"/>
          </w:tcPr>
          <w:p w14:paraId="010BA902" w14:textId="77777777" w:rsidR="00BA232D" w:rsidRDefault="00000000">
            <w:pPr>
              <w:spacing w:after="40" w:line="240" w:lineRule="auto"/>
              <w:rPr>
                <w:rFonts w:cs="Arial"/>
              </w:rPr>
            </w:pPr>
            <w:r>
              <w:rPr>
                <w:rFonts w:cs="Arial"/>
                <w:b/>
                <w:color w:val="FFFFFF"/>
                <w:sz w:val="17"/>
              </w:rPr>
              <w:t>Decision</w:t>
            </w:r>
          </w:p>
        </w:tc>
      </w:tr>
      <w:tr w:rsidR="00BA232D" w14:paraId="7E99AE26" w14:textId="77777777">
        <w:trPr>
          <w:cantSplit/>
          <w:jc w:val="center"/>
        </w:trPr>
        <w:tc>
          <w:tcPr>
            <w:tcW w:w="2116" w:type="dxa"/>
          </w:tcPr>
          <w:p w14:paraId="60A659FA" w14:textId="77777777" w:rsidR="00BA232D" w:rsidRDefault="00000000">
            <w:pPr>
              <w:spacing w:after="40" w:line="240" w:lineRule="auto"/>
              <w:rPr>
                <w:rFonts w:cs="Arial"/>
              </w:rPr>
            </w:pPr>
            <w:r>
              <w:rPr>
                <w:rFonts w:cs="Arial"/>
                <w:sz w:val="17"/>
              </w:rPr>
              <w:t>A. Academy and templates</w:t>
            </w:r>
          </w:p>
        </w:tc>
        <w:tc>
          <w:tcPr>
            <w:tcW w:w="2821" w:type="dxa"/>
          </w:tcPr>
          <w:p w14:paraId="68D6BCA9" w14:textId="77777777" w:rsidR="00BA232D" w:rsidRDefault="00000000">
            <w:pPr>
              <w:spacing w:after="40" w:line="240" w:lineRule="auto"/>
              <w:rPr>
                <w:rFonts w:cs="Arial"/>
              </w:rPr>
            </w:pPr>
            <w:r>
              <w:rPr>
                <w:rFonts w:cs="Arial"/>
                <w:sz w:val="17"/>
              </w:rPr>
              <w:t>Low risk and improves individual competence.</w:t>
            </w:r>
          </w:p>
        </w:tc>
        <w:tc>
          <w:tcPr>
            <w:tcW w:w="2954" w:type="dxa"/>
          </w:tcPr>
          <w:p w14:paraId="11108E5E" w14:textId="77777777" w:rsidR="00BA232D" w:rsidRDefault="00000000">
            <w:pPr>
              <w:spacing w:after="40" w:line="240" w:lineRule="auto"/>
              <w:rPr>
                <w:rFonts w:cs="Arial"/>
              </w:rPr>
            </w:pPr>
            <w:r>
              <w:rPr>
                <w:rFonts w:cs="Arial"/>
                <w:sz w:val="17"/>
              </w:rPr>
              <w:t>Does not remove person-dependence or create persistent memory.</w:t>
            </w:r>
          </w:p>
        </w:tc>
        <w:tc>
          <w:tcPr>
            <w:tcW w:w="1844" w:type="dxa"/>
          </w:tcPr>
          <w:p w14:paraId="43326000" w14:textId="77777777" w:rsidR="00BA232D" w:rsidRDefault="00000000">
            <w:pPr>
              <w:spacing w:after="40" w:line="240" w:lineRule="auto"/>
              <w:rPr>
                <w:rFonts w:cs="Arial"/>
              </w:rPr>
            </w:pPr>
            <w:r>
              <w:rPr>
                <w:rFonts w:cs="Arial"/>
                <w:sz w:val="17"/>
              </w:rPr>
              <w:t>Retain as enabling capability, not the main reinvention.</w:t>
            </w:r>
          </w:p>
        </w:tc>
      </w:tr>
      <w:tr w:rsidR="00BA232D" w14:paraId="4590C00C" w14:textId="77777777">
        <w:trPr>
          <w:cantSplit/>
          <w:jc w:val="center"/>
        </w:trPr>
        <w:tc>
          <w:tcPr>
            <w:tcW w:w="2116" w:type="dxa"/>
            <w:shd w:val="clear" w:color="auto" w:fill="EAF1F7"/>
          </w:tcPr>
          <w:p w14:paraId="68BAD2F3" w14:textId="77777777" w:rsidR="00BA232D" w:rsidRDefault="00000000">
            <w:pPr>
              <w:spacing w:after="40" w:line="240" w:lineRule="auto"/>
              <w:rPr>
                <w:rFonts w:cs="Arial"/>
              </w:rPr>
            </w:pPr>
            <w:r>
              <w:rPr>
                <w:rFonts w:cs="Arial"/>
                <w:sz w:val="17"/>
              </w:rPr>
              <w:t>B. Central service centre</w:t>
            </w:r>
          </w:p>
        </w:tc>
        <w:tc>
          <w:tcPr>
            <w:tcW w:w="2821" w:type="dxa"/>
            <w:shd w:val="clear" w:color="auto" w:fill="EAF1F7"/>
          </w:tcPr>
          <w:p w14:paraId="623BAAE3" w14:textId="77777777" w:rsidR="00BA232D" w:rsidRDefault="00000000">
            <w:pPr>
              <w:spacing w:after="40" w:line="240" w:lineRule="auto"/>
              <w:rPr>
                <w:rFonts w:cs="Arial"/>
              </w:rPr>
            </w:pPr>
            <w:r>
              <w:rPr>
                <w:rFonts w:cs="Arial"/>
                <w:sz w:val="17"/>
              </w:rPr>
              <w:t>Fast standardisation and visible quality control.</w:t>
            </w:r>
          </w:p>
        </w:tc>
        <w:tc>
          <w:tcPr>
            <w:tcW w:w="2954" w:type="dxa"/>
            <w:shd w:val="clear" w:color="auto" w:fill="EAF1F7"/>
          </w:tcPr>
          <w:p w14:paraId="2617B4E9" w14:textId="77777777" w:rsidR="00BA232D" w:rsidRDefault="00000000">
            <w:pPr>
              <w:spacing w:after="40" w:line="240" w:lineRule="auto"/>
              <w:rPr>
                <w:rFonts w:cs="Arial"/>
              </w:rPr>
            </w:pPr>
            <w:r>
              <w:rPr>
                <w:rFonts w:cs="Arial"/>
                <w:sz w:val="17"/>
              </w:rPr>
              <w:t>Blurs oversight and operation, creates confidentiality risk and recentralises dependency.</w:t>
            </w:r>
          </w:p>
        </w:tc>
        <w:tc>
          <w:tcPr>
            <w:tcW w:w="1844" w:type="dxa"/>
            <w:shd w:val="clear" w:color="auto" w:fill="EAF1F7"/>
          </w:tcPr>
          <w:p w14:paraId="76841E71" w14:textId="77777777" w:rsidR="00BA232D" w:rsidRDefault="00000000">
            <w:pPr>
              <w:spacing w:after="40" w:line="240" w:lineRule="auto"/>
              <w:rPr>
                <w:rFonts w:cs="Arial"/>
              </w:rPr>
            </w:pPr>
            <w:r>
              <w:rPr>
                <w:rFonts w:cs="Arial"/>
                <w:sz w:val="17"/>
              </w:rPr>
              <w:t>Reject as the primary model.</w:t>
            </w:r>
          </w:p>
        </w:tc>
      </w:tr>
      <w:tr w:rsidR="00BA232D" w14:paraId="0B2F27A9" w14:textId="77777777">
        <w:trPr>
          <w:cantSplit/>
          <w:jc w:val="center"/>
        </w:trPr>
        <w:tc>
          <w:tcPr>
            <w:tcW w:w="2116" w:type="dxa"/>
          </w:tcPr>
          <w:p w14:paraId="5D2474E2" w14:textId="77777777" w:rsidR="00BA232D" w:rsidRDefault="00000000">
            <w:pPr>
              <w:spacing w:after="40" w:line="240" w:lineRule="auto"/>
              <w:rPr>
                <w:rFonts w:cs="Arial"/>
              </w:rPr>
            </w:pPr>
            <w:r>
              <w:rPr>
                <w:rFonts w:cs="Arial"/>
                <w:sz w:val="17"/>
              </w:rPr>
              <w:t>C. Secretariat-in-a-Box</w:t>
            </w:r>
          </w:p>
        </w:tc>
        <w:tc>
          <w:tcPr>
            <w:tcW w:w="2821" w:type="dxa"/>
          </w:tcPr>
          <w:p w14:paraId="5AA4EADA" w14:textId="77777777" w:rsidR="00BA232D" w:rsidRDefault="00000000">
            <w:pPr>
              <w:spacing w:after="40" w:line="240" w:lineRule="auto"/>
              <w:rPr>
                <w:rFonts w:cs="Arial"/>
              </w:rPr>
            </w:pPr>
            <w:r>
              <w:rPr>
                <w:rFonts w:cs="Arial"/>
                <w:sz w:val="17"/>
              </w:rPr>
              <w:t>Turns secretariat method into a local, cited and reusable capability at portfolio scale.</w:t>
            </w:r>
          </w:p>
        </w:tc>
        <w:tc>
          <w:tcPr>
            <w:tcW w:w="2954" w:type="dxa"/>
          </w:tcPr>
          <w:p w14:paraId="03D2847E" w14:textId="77777777" w:rsidR="00BA232D" w:rsidRDefault="00000000">
            <w:pPr>
              <w:spacing w:after="40" w:line="240" w:lineRule="auto"/>
              <w:rPr>
                <w:rFonts w:cs="Arial"/>
              </w:rPr>
            </w:pPr>
            <w:r>
              <w:rPr>
                <w:rFonts w:cs="Arial"/>
                <w:sz w:val="17"/>
              </w:rPr>
              <w:t>Novel and trust-sensitive in a quasi-legal domain.</w:t>
            </w:r>
          </w:p>
        </w:tc>
        <w:tc>
          <w:tcPr>
            <w:tcW w:w="1844" w:type="dxa"/>
          </w:tcPr>
          <w:p w14:paraId="3E317A57" w14:textId="77777777" w:rsidR="00BA232D" w:rsidRDefault="00000000">
            <w:pPr>
              <w:spacing w:after="40" w:line="240" w:lineRule="auto"/>
              <w:rPr>
                <w:rFonts w:cs="Arial"/>
              </w:rPr>
            </w:pPr>
            <w:r>
              <w:rPr>
                <w:rFonts w:cs="Arial"/>
                <w:sz w:val="17"/>
              </w:rPr>
              <w:t>Recommend a phased proof of concept and pilot.</w:t>
            </w:r>
          </w:p>
        </w:tc>
      </w:tr>
    </w:tbl>
    <w:p w14:paraId="2B113FE2" w14:textId="77777777" w:rsidR="00BA232D" w:rsidRDefault="00BA232D"/>
    <w:p w14:paraId="4FCC9180" w14:textId="77777777" w:rsidR="00BA232D" w:rsidRDefault="00BA232D">
      <w:pPr>
        <w:spacing w:after="200" w:line="276" w:lineRule="auto"/>
        <w:rPr>
          <w:rFonts w:cstheme="majorBidi"/>
          <w:b/>
          <w:bCs/>
          <w:color w:val="1F4E79"/>
          <w:sz w:val="32"/>
          <w:szCs w:val="28"/>
        </w:rPr>
      </w:pPr>
    </w:p>
    <w:p w14:paraId="54D36765" w14:textId="77777777" w:rsidR="00FC130A" w:rsidRDefault="00FC130A">
      <w:pPr>
        <w:spacing w:after="0" w:line="240" w:lineRule="auto"/>
        <w:rPr>
          <w:rFonts w:cstheme="majorBidi"/>
          <w:b/>
          <w:bCs/>
          <w:color w:val="1F4E79"/>
          <w:sz w:val="32"/>
          <w:szCs w:val="28"/>
        </w:rPr>
      </w:pPr>
      <w:bookmarkStart w:id="24" w:name="_Toc234699808"/>
      <w:r>
        <w:br w:type="page"/>
      </w:r>
    </w:p>
    <w:p w14:paraId="75F6B184" w14:textId="29A5B311" w:rsidR="00BA232D" w:rsidRDefault="00000000">
      <w:pPr>
        <w:pStyle w:val="Heading1"/>
        <w:spacing w:before="280" w:after="120"/>
      </w:pPr>
      <w:bookmarkStart w:id="25" w:name="_Toc234702410"/>
      <w:r>
        <w:rPr>
          <w:rFonts w:ascii="Arial" w:eastAsia="Arial" w:hAnsi="Arial"/>
        </w:rPr>
        <w:lastRenderedPageBreak/>
        <w:t>5. Recommended Approach: Secretariat-in-a-Box</w:t>
      </w:r>
      <w:bookmarkEnd w:id="24"/>
      <w:bookmarkEnd w:id="25"/>
    </w:p>
    <w:p w14:paraId="140502E0" w14:textId="77777777" w:rsidR="00BA232D" w:rsidRDefault="00000000" w:rsidP="00FC130A">
      <w:pPr>
        <w:spacing w:line="276" w:lineRule="auto"/>
        <w:jc w:val="lowKashida"/>
      </w:pPr>
      <w:r>
        <w:t>I suggest Option C, executed in phases through a proof of concept, with Option A as the "people and adoption" work stream. I do not suggest automating the secretariat role. Rather, I recommend building a controlled capacity to assist secretaries in performing their duties in ways that are reliable, transparent and consistent. The platform will provide decision support and assure governance; however, it will not offer legal advice nor serve as the official record of the company.</w:t>
      </w:r>
    </w:p>
    <w:p w14:paraId="1F4C10D6" w14:textId="77777777" w:rsidR="00BA232D" w:rsidRDefault="00000000" w:rsidP="00FC130A">
      <w:pPr>
        <w:pStyle w:val="Heading2"/>
        <w:spacing w:before="200"/>
        <w:jc w:val="lowKashida"/>
      </w:pPr>
      <w:bookmarkStart w:id="26" w:name="_Toc234699809"/>
      <w:bookmarkStart w:id="27" w:name="_Toc234702411"/>
      <w:r>
        <w:rPr>
          <w:rFonts w:ascii="Arial" w:eastAsia="Arial" w:hAnsi="Arial"/>
        </w:rPr>
        <w:t>5.1 Product purpose and non-goals</w:t>
      </w:r>
      <w:bookmarkEnd w:id="26"/>
      <w:bookmarkEnd w:id="27"/>
    </w:p>
    <w:p w14:paraId="442EA3D4" w14:textId="77777777" w:rsidR="00BA232D" w:rsidRDefault="00000000" w:rsidP="00FC130A">
      <w:pPr>
        <w:spacing w:line="276" w:lineRule="auto"/>
        <w:jc w:val="lowKashida"/>
      </w:pPr>
      <w:r>
        <w:t xml:space="preserve">Secretariat-in-a-Box will perform the core support responsibilities of a Board secretariat by utilising reason-based functionality regarding the company's governing documents and meeting history. The concept brief articulates the central idea for Secretariat-in-a-Box and the product specification document expands upon this idea: most recurring problems experienced by secretariats arise from applied, ground-level reasoning regarding the company's governing corpus (i.e., charters, policies, procedures, </w:t>
      </w:r>
      <w:proofErr w:type="spellStart"/>
      <w:r>
        <w:t>DoA</w:t>
      </w:r>
      <w:proofErr w:type="spellEnd"/>
      <w:r>
        <w:t xml:space="preserve"> Matrix, etc.) and prior meeting minutes (Dossa, 2026q, 2026r). The product does not require retraining but configuration. All customisations will occur within the company's existing documentation templates, authority threshold values, jurisdiction packs and document libraries.</w:t>
      </w:r>
    </w:p>
    <w:p w14:paraId="4C4FDDCC" w14:textId="77777777" w:rsidR="00BA232D" w:rsidRDefault="00000000" w:rsidP="00FC130A">
      <w:pPr>
        <w:spacing w:line="276" w:lineRule="auto"/>
        <w:jc w:val="lowKashida"/>
      </w:pPr>
      <w:r>
        <w:t>In addition to determining the purposes of the product, it is essential to establish what the product is not designed to accomplish. As such, we have established several non-goals for Secretariat-in-a-Box. Specifically, the platform will not act as legal counsel to the organisation. In addition to providing governance assurance and decision support, the platform will not create a permanent record of authority. Furthermore, the platform will not act as an authoritative oracle. Therefore, the platform cannot finalise minutes, cannot provide advisory services using the platform's identity, and cannot override a Board secretary. Additionally, the platform must clearly indicate to users when answers to questions cannot be located within a company-approved document library. When issues fall outside of the scope of the platform, it must refer users to Legal Counsel, the Board Secretary or other applicable authorities.</w:t>
      </w:r>
    </w:p>
    <w:p w14:paraId="2EFCB686" w14:textId="77777777" w:rsidR="00BA232D" w:rsidRDefault="00000000" w:rsidP="00FC130A">
      <w:pPr>
        <w:pStyle w:val="Heading2"/>
        <w:spacing w:before="200"/>
        <w:jc w:val="lowKashida"/>
      </w:pPr>
      <w:bookmarkStart w:id="28" w:name="_Toc234699810"/>
      <w:bookmarkStart w:id="29" w:name="_Toc234702412"/>
      <w:r>
        <w:rPr>
          <w:rFonts w:ascii="Arial" w:eastAsia="Arial" w:hAnsi="Arial"/>
        </w:rPr>
        <w:t>5.2 Meeting lifecycle use cases</w:t>
      </w:r>
      <w:bookmarkEnd w:id="28"/>
      <w:bookmarkEnd w:id="29"/>
    </w:p>
    <w:p w14:paraId="2FF2FD3C" w14:textId="77777777" w:rsidR="00BA232D" w:rsidRDefault="00000000" w:rsidP="00FC130A">
      <w:pPr>
        <w:spacing w:line="276" w:lineRule="auto"/>
        <w:jc w:val="lowKashida"/>
      </w:pPr>
      <w:r>
        <w:t>While it is reasonable to expect that Secretariat-in-a-Box can support a complete meeting life cycle, it would be unreasonable to develop every feature at one time. Prior to meetings, Secretariat-in-a-Box can draft agendas, carry forward unresolved action items, and locate charter items requiring completion during the current meeting cycle. At a meeting, Secretariat-in-a-Box can provide authority references, determine if quorum exists, and cite specific procedural requirements for consideration. Following a meeting, Secretariat-in-a-Box can generate initial drafts of minutes, identify decisions and responsible parties, update an action tracking database; and prepare subsequent meeting agendas. Over time, Secretariat-in-a-Box will provide corporate memory retention, support new employee orientation, ensure policy consistency across multiple meetings, and enable maintenance of a compliance calendar.</w:t>
      </w:r>
    </w:p>
    <w:p w14:paraId="17E9B660" w14:textId="77777777" w:rsidR="00BA232D" w:rsidRDefault="00000000">
      <w:pPr>
        <w:pStyle w:val="Caption"/>
        <w:spacing w:before="120" w:after="40"/>
      </w:pPr>
      <w:r>
        <w:t>Table 4. Proposed meeting lifecycle functionality.</w:t>
      </w:r>
    </w:p>
    <w:tbl>
      <w:tblPr>
        <w:tblStyle w:val="TableGrid"/>
        <w:tblW w:w="9736" w:type="dxa"/>
        <w:jc w:val="center"/>
        <w:tblLayout w:type="fixed"/>
        <w:tblLook w:val="04A0" w:firstRow="1" w:lastRow="0" w:firstColumn="1" w:lastColumn="0" w:noHBand="0" w:noVBand="1"/>
      </w:tblPr>
      <w:tblGrid>
        <w:gridCol w:w="2078"/>
        <w:gridCol w:w="4909"/>
        <w:gridCol w:w="2749"/>
      </w:tblGrid>
      <w:tr w:rsidR="00BA232D" w14:paraId="5478E738" w14:textId="77777777">
        <w:trPr>
          <w:cantSplit/>
          <w:tblHeader/>
          <w:jc w:val="center"/>
        </w:trPr>
        <w:tc>
          <w:tcPr>
            <w:tcW w:w="2078" w:type="dxa"/>
            <w:shd w:val="clear" w:color="auto" w:fill="1F4E79"/>
          </w:tcPr>
          <w:p w14:paraId="7C06309A" w14:textId="77777777" w:rsidR="00BA232D" w:rsidRDefault="00000000">
            <w:pPr>
              <w:spacing w:after="40" w:line="240" w:lineRule="auto"/>
              <w:rPr>
                <w:rFonts w:cs="Arial"/>
              </w:rPr>
            </w:pPr>
            <w:r>
              <w:rPr>
                <w:rFonts w:cs="Arial"/>
                <w:b/>
                <w:color w:val="FFFFFF"/>
                <w:sz w:val="17"/>
              </w:rPr>
              <w:t>Lifecycle stage</w:t>
            </w:r>
          </w:p>
        </w:tc>
        <w:tc>
          <w:tcPr>
            <w:tcW w:w="4909" w:type="dxa"/>
            <w:shd w:val="clear" w:color="auto" w:fill="1F4E79"/>
          </w:tcPr>
          <w:p w14:paraId="148378D6" w14:textId="77777777" w:rsidR="00BA232D" w:rsidRDefault="00000000">
            <w:pPr>
              <w:spacing w:after="40" w:line="240" w:lineRule="auto"/>
              <w:rPr>
                <w:rFonts w:cs="Arial"/>
              </w:rPr>
            </w:pPr>
            <w:r>
              <w:rPr>
                <w:rFonts w:cs="Arial"/>
                <w:b/>
                <w:color w:val="FFFFFF"/>
                <w:sz w:val="17"/>
              </w:rPr>
              <w:t>Priority use cases</w:t>
            </w:r>
          </w:p>
        </w:tc>
        <w:tc>
          <w:tcPr>
            <w:tcW w:w="2749" w:type="dxa"/>
            <w:shd w:val="clear" w:color="auto" w:fill="1F4E79"/>
          </w:tcPr>
          <w:p w14:paraId="12BF6B02" w14:textId="77777777" w:rsidR="00BA232D" w:rsidRDefault="00000000">
            <w:pPr>
              <w:spacing w:after="40" w:line="240" w:lineRule="auto"/>
              <w:rPr>
                <w:rFonts w:cs="Arial"/>
              </w:rPr>
            </w:pPr>
            <w:r>
              <w:rPr>
                <w:rFonts w:cs="Arial"/>
                <w:b/>
                <w:color w:val="FFFFFF"/>
                <w:sz w:val="17"/>
              </w:rPr>
              <w:t>Control principle</w:t>
            </w:r>
          </w:p>
        </w:tc>
      </w:tr>
      <w:tr w:rsidR="00BA232D" w14:paraId="5E8A78A2" w14:textId="77777777">
        <w:trPr>
          <w:cantSplit/>
          <w:jc w:val="center"/>
        </w:trPr>
        <w:tc>
          <w:tcPr>
            <w:tcW w:w="2078" w:type="dxa"/>
          </w:tcPr>
          <w:p w14:paraId="3D4B31BA" w14:textId="77777777" w:rsidR="00BA232D" w:rsidRDefault="00000000">
            <w:pPr>
              <w:spacing w:after="40" w:line="240" w:lineRule="auto"/>
              <w:rPr>
                <w:rFonts w:cs="Arial"/>
              </w:rPr>
            </w:pPr>
            <w:r>
              <w:rPr>
                <w:rFonts w:cs="Arial"/>
                <w:sz w:val="17"/>
              </w:rPr>
              <w:t>Before the meeting</w:t>
            </w:r>
          </w:p>
        </w:tc>
        <w:tc>
          <w:tcPr>
            <w:tcW w:w="4909" w:type="dxa"/>
          </w:tcPr>
          <w:p w14:paraId="08BF7302" w14:textId="77777777" w:rsidR="00BA232D" w:rsidRDefault="00000000">
            <w:pPr>
              <w:spacing w:after="40" w:line="240" w:lineRule="auto"/>
              <w:rPr>
                <w:rFonts w:cs="Arial"/>
              </w:rPr>
            </w:pPr>
            <w:r>
              <w:rPr>
                <w:rFonts w:cs="Arial"/>
                <w:sz w:val="17"/>
              </w:rPr>
              <w:t>Agenda generation, open action carry-forward, charter work-plan assurance and pack summaries.</w:t>
            </w:r>
          </w:p>
        </w:tc>
        <w:tc>
          <w:tcPr>
            <w:tcW w:w="2749" w:type="dxa"/>
          </w:tcPr>
          <w:p w14:paraId="33ABBD50" w14:textId="77777777" w:rsidR="00BA232D" w:rsidRDefault="00000000">
            <w:pPr>
              <w:spacing w:after="40" w:line="240" w:lineRule="auto"/>
              <w:rPr>
                <w:rFonts w:cs="Arial"/>
              </w:rPr>
            </w:pPr>
            <w:r>
              <w:rPr>
                <w:rFonts w:cs="Arial"/>
                <w:sz w:val="17"/>
              </w:rPr>
              <w:t>The secretary reviews and accepts all proposed agenda items.</w:t>
            </w:r>
          </w:p>
        </w:tc>
      </w:tr>
      <w:tr w:rsidR="00BA232D" w14:paraId="1E4B1C1D" w14:textId="77777777">
        <w:trPr>
          <w:cantSplit/>
          <w:jc w:val="center"/>
        </w:trPr>
        <w:tc>
          <w:tcPr>
            <w:tcW w:w="2078" w:type="dxa"/>
            <w:shd w:val="clear" w:color="auto" w:fill="EAF1F7"/>
          </w:tcPr>
          <w:p w14:paraId="0142BF23" w14:textId="77777777" w:rsidR="00BA232D" w:rsidRDefault="00000000">
            <w:pPr>
              <w:spacing w:after="40" w:line="240" w:lineRule="auto"/>
              <w:rPr>
                <w:rFonts w:cs="Arial"/>
              </w:rPr>
            </w:pPr>
            <w:r>
              <w:rPr>
                <w:rFonts w:cs="Arial"/>
                <w:sz w:val="17"/>
              </w:rPr>
              <w:t>During the meeting</w:t>
            </w:r>
          </w:p>
        </w:tc>
        <w:tc>
          <w:tcPr>
            <w:tcW w:w="4909" w:type="dxa"/>
            <w:shd w:val="clear" w:color="auto" w:fill="EAF1F7"/>
          </w:tcPr>
          <w:p w14:paraId="78AB64D9" w14:textId="77777777" w:rsidR="00BA232D" w:rsidRDefault="00000000">
            <w:pPr>
              <w:spacing w:after="40" w:line="240" w:lineRule="auto"/>
              <w:rPr>
                <w:rFonts w:cs="Arial"/>
              </w:rPr>
            </w:pPr>
            <w:proofErr w:type="spellStart"/>
            <w:r>
              <w:rPr>
                <w:rFonts w:cs="Arial"/>
                <w:sz w:val="17"/>
              </w:rPr>
              <w:t>DoA</w:t>
            </w:r>
            <w:proofErr w:type="spellEnd"/>
            <w:r>
              <w:rPr>
                <w:rFonts w:cs="Arial"/>
                <w:sz w:val="17"/>
              </w:rPr>
              <w:t xml:space="preserve"> checks, quorum and procedure lookup, precedent and policy lookup.</w:t>
            </w:r>
          </w:p>
        </w:tc>
        <w:tc>
          <w:tcPr>
            <w:tcW w:w="2749" w:type="dxa"/>
            <w:shd w:val="clear" w:color="auto" w:fill="EAF1F7"/>
          </w:tcPr>
          <w:p w14:paraId="6248CF71" w14:textId="77777777" w:rsidR="00BA232D" w:rsidRDefault="00000000">
            <w:pPr>
              <w:spacing w:after="40" w:line="240" w:lineRule="auto"/>
              <w:rPr>
                <w:rFonts w:cs="Arial"/>
              </w:rPr>
            </w:pPr>
            <w:r>
              <w:rPr>
                <w:rFonts w:cs="Arial"/>
                <w:sz w:val="17"/>
              </w:rPr>
              <w:t>The platform must cite the source clause or state that the answer is not found.</w:t>
            </w:r>
          </w:p>
        </w:tc>
      </w:tr>
      <w:tr w:rsidR="00BA232D" w14:paraId="778E7081" w14:textId="77777777">
        <w:trPr>
          <w:cantSplit/>
          <w:jc w:val="center"/>
        </w:trPr>
        <w:tc>
          <w:tcPr>
            <w:tcW w:w="2078" w:type="dxa"/>
          </w:tcPr>
          <w:p w14:paraId="428233E4" w14:textId="77777777" w:rsidR="00BA232D" w:rsidRDefault="00000000">
            <w:pPr>
              <w:spacing w:after="40" w:line="240" w:lineRule="auto"/>
              <w:rPr>
                <w:rFonts w:cs="Arial"/>
              </w:rPr>
            </w:pPr>
            <w:r>
              <w:rPr>
                <w:rFonts w:cs="Arial"/>
                <w:sz w:val="17"/>
              </w:rPr>
              <w:t>After the meeting</w:t>
            </w:r>
          </w:p>
        </w:tc>
        <w:tc>
          <w:tcPr>
            <w:tcW w:w="4909" w:type="dxa"/>
          </w:tcPr>
          <w:p w14:paraId="180D83E1" w14:textId="77777777" w:rsidR="00BA232D" w:rsidRDefault="00000000">
            <w:pPr>
              <w:spacing w:after="40" w:line="240" w:lineRule="auto"/>
              <w:rPr>
                <w:rFonts w:cs="Arial"/>
              </w:rPr>
            </w:pPr>
            <w:r>
              <w:rPr>
                <w:rFonts w:cs="Arial"/>
                <w:sz w:val="17"/>
              </w:rPr>
              <w:t>First-draft minutes, decision extraction, action owners, due dates and resolution drafts.</w:t>
            </w:r>
          </w:p>
        </w:tc>
        <w:tc>
          <w:tcPr>
            <w:tcW w:w="2749" w:type="dxa"/>
          </w:tcPr>
          <w:p w14:paraId="5988FE3E" w14:textId="77777777" w:rsidR="00BA232D" w:rsidRDefault="00000000">
            <w:pPr>
              <w:spacing w:after="40" w:line="240" w:lineRule="auto"/>
              <w:rPr>
                <w:rFonts w:cs="Arial"/>
              </w:rPr>
            </w:pPr>
            <w:r>
              <w:rPr>
                <w:rFonts w:cs="Arial"/>
                <w:sz w:val="17"/>
              </w:rPr>
              <w:t>Drafts remain draft until secretary and chair approval.</w:t>
            </w:r>
          </w:p>
        </w:tc>
      </w:tr>
      <w:tr w:rsidR="00BA232D" w14:paraId="5A098BE1" w14:textId="77777777">
        <w:trPr>
          <w:cantSplit/>
          <w:jc w:val="center"/>
        </w:trPr>
        <w:tc>
          <w:tcPr>
            <w:tcW w:w="2078" w:type="dxa"/>
            <w:shd w:val="clear" w:color="auto" w:fill="EAF1F7"/>
          </w:tcPr>
          <w:p w14:paraId="2E7EF8DB" w14:textId="77777777" w:rsidR="00BA232D" w:rsidRDefault="00000000">
            <w:pPr>
              <w:spacing w:after="40" w:line="240" w:lineRule="auto"/>
              <w:rPr>
                <w:rFonts w:cs="Arial"/>
              </w:rPr>
            </w:pPr>
            <w:r>
              <w:rPr>
                <w:rFonts w:cs="Arial"/>
                <w:sz w:val="17"/>
              </w:rPr>
              <w:t>Always</w:t>
            </w:r>
          </w:p>
        </w:tc>
        <w:tc>
          <w:tcPr>
            <w:tcW w:w="4909" w:type="dxa"/>
            <w:shd w:val="clear" w:color="auto" w:fill="EAF1F7"/>
          </w:tcPr>
          <w:p w14:paraId="581DA3ED" w14:textId="77777777" w:rsidR="00BA232D" w:rsidRDefault="00000000">
            <w:pPr>
              <w:spacing w:after="40" w:line="240" w:lineRule="auto"/>
              <w:rPr>
                <w:rFonts w:cs="Arial"/>
              </w:rPr>
            </w:pPr>
            <w:r>
              <w:rPr>
                <w:rFonts w:cs="Arial"/>
                <w:sz w:val="17"/>
              </w:rPr>
              <w:t>Corporate memory Q&amp;A, onboarding packs, policy consistency and compliance calendar.</w:t>
            </w:r>
          </w:p>
        </w:tc>
        <w:tc>
          <w:tcPr>
            <w:tcW w:w="2749" w:type="dxa"/>
            <w:shd w:val="clear" w:color="auto" w:fill="EAF1F7"/>
          </w:tcPr>
          <w:p w14:paraId="0426A80C" w14:textId="77777777" w:rsidR="00BA232D" w:rsidRDefault="00000000">
            <w:pPr>
              <w:spacing w:after="40" w:line="240" w:lineRule="auto"/>
              <w:rPr>
                <w:rFonts w:cs="Arial"/>
              </w:rPr>
            </w:pPr>
            <w:r>
              <w:rPr>
                <w:rFonts w:cs="Arial"/>
                <w:sz w:val="17"/>
              </w:rPr>
              <w:t>Access is role-based and all sensitive queries are logged.</w:t>
            </w:r>
          </w:p>
        </w:tc>
      </w:tr>
    </w:tbl>
    <w:p w14:paraId="3B48276E" w14:textId="77777777" w:rsidR="00BA232D" w:rsidRDefault="00BA232D"/>
    <w:p w14:paraId="5A1D87FE" w14:textId="77777777" w:rsidR="00BA232D" w:rsidRDefault="00000000">
      <w:pPr>
        <w:pStyle w:val="Heading2"/>
        <w:spacing w:before="200"/>
      </w:pPr>
      <w:bookmarkStart w:id="30" w:name="_Toc234699811"/>
      <w:bookmarkStart w:id="31" w:name="_Toc234702413"/>
      <w:r>
        <w:rPr>
          <w:rFonts w:ascii="Arial" w:eastAsia="Arial" w:hAnsi="Arial"/>
        </w:rPr>
        <w:lastRenderedPageBreak/>
        <w:t>5.3 Platform architecture</w:t>
      </w:r>
      <w:bookmarkEnd w:id="30"/>
      <w:bookmarkEnd w:id="31"/>
    </w:p>
    <w:p w14:paraId="39F6FDBB" w14:textId="77777777" w:rsidR="00BA232D" w:rsidRDefault="00000000" w:rsidP="00FC130A">
      <w:pPr>
        <w:spacing w:line="276" w:lineRule="auto"/>
        <w:jc w:val="lowKashida"/>
      </w:pPr>
      <w:r>
        <w:t>It is critical to design the platform in a way that is independent of specific language models (or model providers) and specific technologies (to avoid being bound by fads), thereby ensuring ease of governance. Each layer of the architecture should clearly define its area of responsibility to achieve this goal. The most significant architectural decision made was that sourcing and citing precede generating. First, the platform must access relevant source materials. Next, it generates a response (drafts or answers) from those materials. Finally, it provides the source materials to the human user for verification, evaluation and review.</w:t>
      </w:r>
    </w:p>
    <w:p w14:paraId="5370BC55" w14:textId="77777777" w:rsidR="00BA232D" w:rsidRDefault="00000000">
      <w:pPr>
        <w:pStyle w:val="Caption"/>
        <w:spacing w:before="120" w:after="40"/>
      </w:pPr>
      <w:r>
        <w:t>Table 5. Minimum viable architecture and controls.</w:t>
      </w:r>
    </w:p>
    <w:tbl>
      <w:tblPr>
        <w:tblStyle w:val="TableGrid"/>
        <w:tblW w:w="9736" w:type="dxa"/>
        <w:jc w:val="center"/>
        <w:tblLayout w:type="fixed"/>
        <w:tblLook w:val="04A0" w:firstRow="1" w:lastRow="0" w:firstColumn="1" w:lastColumn="0" w:noHBand="0" w:noVBand="1"/>
      </w:tblPr>
      <w:tblGrid>
        <w:gridCol w:w="2124"/>
        <w:gridCol w:w="4505"/>
        <w:gridCol w:w="3107"/>
      </w:tblGrid>
      <w:tr w:rsidR="00BA232D" w14:paraId="5FA43B17" w14:textId="77777777">
        <w:trPr>
          <w:cantSplit/>
          <w:tblHeader/>
          <w:jc w:val="center"/>
        </w:trPr>
        <w:tc>
          <w:tcPr>
            <w:tcW w:w="2124" w:type="dxa"/>
            <w:shd w:val="clear" w:color="auto" w:fill="1F4E79"/>
          </w:tcPr>
          <w:p w14:paraId="26F5FB12" w14:textId="77777777" w:rsidR="00BA232D" w:rsidRDefault="00000000">
            <w:pPr>
              <w:spacing w:after="40" w:line="240" w:lineRule="auto"/>
              <w:rPr>
                <w:rFonts w:cs="Arial"/>
              </w:rPr>
            </w:pPr>
            <w:r>
              <w:rPr>
                <w:rFonts w:cs="Arial"/>
                <w:b/>
                <w:color w:val="FFFFFF"/>
                <w:sz w:val="17"/>
              </w:rPr>
              <w:t>Layer</w:t>
            </w:r>
          </w:p>
        </w:tc>
        <w:tc>
          <w:tcPr>
            <w:tcW w:w="4505" w:type="dxa"/>
            <w:shd w:val="clear" w:color="auto" w:fill="1F4E79"/>
          </w:tcPr>
          <w:p w14:paraId="45ADB47C" w14:textId="77777777" w:rsidR="00BA232D" w:rsidRDefault="00000000">
            <w:pPr>
              <w:spacing w:after="40" w:line="240" w:lineRule="auto"/>
              <w:rPr>
                <w:rFonts w:cs="Arial"/>
              </w:rPr>
            </w:pPr>
            <w:r>
              <w:rPr>
                <w:rFonts w:cs="Arial"/>
                <w:b/>
                <w:color w:val="FFFFFF"/>
                <w:sz w:val="17"/>
              </w:rPr>
              <w:t>Purpose</w:t>
            </w:r>
          </w:p>
        </w:tc>
        <w:tc>
          <w:tcPr>
            <w:tcW w:w="3107" w:type="dxa"/>
            <w:shd w:val="clear" w:color="auto" w:fill="1F4E79"/>
          </w:tcPr>
          <w:p w14:paraId="33F1D5CF" w14:textId="77777777" w:rsidR="00BA232D" w:rsidRDefault="00000000">
            <w:pPr>
              <w:spacing w:after="40" w:line="240" w:lineRule="auto"/>
              <w:rPr>
                <w:rFonts w:cs="Arial"/>
              </w:rPr>
            </w:pPr>
            <w:r>
              <w:rPr>
                <w:rFonts w:cs="Arial"/>
                <w:b/>
                <w:color w:val="FFFFFF"/>
                <w:sz w:val="17"/>
              </w:rPr>
              <w:t>Key control</w:t>
            </w:r>
          </w:p>
        </w:tc>
      </w:tr>
      <w:tr w:rsidR="00BA232D" w14:paraId="0BF91683" w14:textId="77777777">
        <w:trPr>
          <w:cantSplit/>
          <w:jc w:val="center"/>
        </w:trPr>
        <w:tc>
          <w:tcPr>
            <w:tcW w:w="2124" w:type="dxa"/>
          </w:tcPr>
          <w:p w14:paraId="3A7BD9D7" w14:textId="77777777" w:rsidR="00BA232D" w:rsidRDefault="00000000">
            <w:pPr>
              <w:spacing w:after="40" w:line="240" w:lineRule="auto"/>
              <w:rPr>
                <w:rFonts w:cs="Arial"/>
              </w:rPr>
            </w:pPr>
            <w:r>
              <w:rPr>
                <w:rFonts w:cs="Arial"/>
                <w:sz w:val="17"/>
              </w:rPr>
              <w:t>Approved source folders</w:t>
            </w:r>
          </w:p>
        </w:tc>
        <w:tc>
          <w:tcPr>
            <w:tcW w:w="4505" w:type="dxa"/>
          </w:tcPr>
          <w:p w14:paraId="3C60E9F1" w14:textId="77777777" w:rsidR="00BA232D" w:rsidRDefault="00000000">
            <w:pPr>
              <w:spacing w:after="40" w:line="240" w:lineRule="auto"/>
              <w:rPr>
                <w:rFonts w:cs="Arial"/>
              </w:rPr>
            </w:pPr>
            <w:r>
              <w:rPr>
                <w:rFonts w:cs="Arial"/>
                <w:sz w:val="17"/>
              </w:rPr>
              <w:t xml:space="preserve">Read-only connection to Board and committee documents, charters, </w:t>
            </w:r>
            <w:proofErr w:type="spellStart"/>
            <w:r>
              <w:rPr>
                <w:rFonts w:cs="Arial"/>
                <w:sz w:val="17"/>
              </w:rPr>
              <w:t>DoA</w:t>
            </w:r>
            <w:proofErr w:type="spellEnd"/>
            <w:r>
              <w:rPr>
                <w:rFonts w:cs="Arial"/>
                <w:sz w:val="17"/>
              </w:rPr>
              <w:t>, policies, procedures, minutes and registers.</w:t>
            </w:r>
          </w:p>
        </w:tc>
        <w:tc>
          <w:tcPr>
            <w:tcW w:w="3107" w:type="dxa"/>
          </w:tcPr>
          <w:p w14:paraId="6CFB9E69" w14:textId="77777777" w:rsidR="00BA232D" w:rsidRDefault="00000000">
            <w:pPr>
              <w:spacing w:after="40" w:line="240" w:lineRule="auto"/>
              <w:rPr>
                <w:rFonts w:cs="Arial"/>
              </w:rPr>
            </w:pPr>
            <w:r>
              <w:rPr>
                <w:rFonts w:cs="Arial"/>
                <w:sz w:val="17"/>
              </w:rPr>
              <w:t>Document classification, role access and version control.</w:t>
            </w:r>
          </w:p>
        </w:tc>
      </w:tr>
      <w:tr w:rsidR="00BA232D" w14:paraId="5F328C55" w14:textId="77777777">
        <w:trPr>
          <w:cantSplit/>
          <w:jc w:val="center"/>
        </w:trPr>
        <w:tc>
          <w:tcPr>
            <w:tcW w:w="2124" w:type="dxa"/>
            <w:shd w:val="clear" w:color="auto" w:fill="EAF1F7"/>
          </w:tcPr>
          <w:p w14:paraId="6DE15683" w14:textId="77777777" w:rsidR="00BA232D" w:rsidRDefault="00000000">
            <w:pPr>
              <w:spacing w:after="40" w:line="240" w:lineRule="auto"/>
              <w:rPr>
                <w:rFonts w:cs="Arial"/>
              </w:rPr>
            </w:pPr>
            <w:r>
              <w:rPr>
                <w:rFonts w:cs="Arial"/>
                <w:sz w:val="17"/>
              </w:rPr>
              <w:t>Ingestion and indexing</w:t>
            </w:r>
          </w:p>
        </w:tc>
        <w:tc>
          <w:tcPr>
            <w:tcW w:w="4505" w:type="dxa"/>
            <w:shd w:val="clear" w:color="auto" w:fill="EAF1F7"/>
          </w:tcPr>
          <w:p w14:paraId="78C0BEE5" w14:textId="77777777" w:rsidR="00BA232D" w:rsidRDefault="00000000">
            <w:pPr>
              <w:spacing w:after="40" w:line="240" w:lineRule="auto"/>
              <w:rPr>
                <w:rFonts w:cs="Arial"/>
              </w:rPr>
            </w:pPr>
            <w:r>
              <w:rPr>
                <w:rFonts w:cs="Arial"/>
                <w:sz w:val="17"/>
              </w:rPr>
              <w:t>Parse, chunk, embed and index documents; detect changes as the source folders update.</w:t>
            </w:r>
          </w:p>
        </w:tc>
        <w:tc>
          <w:tcPr>
            <w:tcW w:w="3107" w:type="dxa"/>
            <w:shd w:val="clear" w:color="auto" w:fill="EAF1F7"/>
          </w:tcPr>
          <w:p w14:paraId="15685932" w14:textId="77777777" w:rsidR="00BA232D" w:rsidRDefault="00000000">
            <w:pPr>
              <w:spacing w:after="40" w:line="240" w:lineRule="auto"/>
              <w:rPr>
                <w:rFonts w:cs="Arial"/>
              </w:rPr>
            </w:pPr>
            <w:r>
              <w:rPr>
                <w:rFonts w:cs="Arial"/>
                <w:sz w:val="17"/>
              </w:rPr>
              <w:t>Only approved repositories are indexed; deleted or superseded material is flagged.</w:t>
            </w:r>
          </w:p>
        </w:tc>
      </w:tr>
      <w:tr w:rsidR="00BA232D" w14:paraId="2B0026A2" w14:textId="77777777">
        <w:trPr>
          <w:cantSplit/>
          <w:jc w:val="center"/>
        </w:trPr>
        <w:tc>
          <w:tcPr>
            <w:tcW w:w="2124" w:type="dxa"/>
          </w:tcPr>
          <w:p w14:paraId="313E896C" w14:textId="77777777" w:rsidR="00BA232D" w:rsidRDefault="00000000">
            <w:pPr>
              <w:spacing w:after="40" w:line="240" w:lineRule="auto"/>
              <w:rPr>
                <w:rFonts w:cs="Arial"/>
              </w:rPr>
            </w:pPr>
            <w:r>
              <w:rPr>
                <w:rFonts w:cs="Arial"/>
                <w:sz w:val="17"/>
              </w:rPr>
              <w:t>Retrieval and reasoning</w:t>
            </w:r>
          </w:p>
        </w:tc>
        <w:tc>
          <w:tcPr>
            <w:tcW w:w="4505" w:type="dxa"/>
          </w:tcPr>
          <w:p w14:paraId="472AC754" w14:textId="77777777" w:rsidR="00BA232D" w:rsidRDefault="00000000">
            <w:pPr>
              <w:spacing w:after="40" w:line="240" w:lineRule="auto"/>
              <w:rPr>
                <w:rFonts w:cs="Arial"/>
              </w:rPr>
            </w:pPr>
            <w:r>
              <w:rPr>
                <w:rFonts w:cs="Arial"/>
                <w:sz w:val="17"/>
              </w:rPr>
              <w:t>Find relevant passages and generate answers or drafts from retrieved sources.</w:t>
            </w:r>
          </w:p>
        </w:tc>
        <w:tc>
          <w:tcPr>
            <w:tcW w:w="3107" w:type="dxa"/>
          </w:tcPr>
          <w:p w14:paraId="4F2DCC37" w14:textId="77777777" w:rsidR="00BA232D" w:rsidRDefault="00000000">
            <w:pPr>
              <w:spacing w:after="40" w:line="240" w:lineRule="auto"/>
              <w:rPr>
                <w:rFonts w:cs="Arial"/>
              </w:rPr>
            </w:pPr>
            <w:r>
              <w:rPr>
                <w:rFonts w:cs="Arial"/>
                <w:sz w:val="17"/>
              </w:rPr>
              <w:t>Mandatory source citation and confidence or unknown handling.</w:t>
            </w:r>
          </w:p>
        </w:tc>
      </w:tr>
      <w:tr w:rsidR="00BA232D" w14:paraId="55040A33" w14:textId="77777777">
        <w:trPr>
          <w:cantSplit/>
          <w:jc w:val="center"/>
        </w:trPr>
        <w:tc>
          <w:tcPr>
            <w:tcW w:w="2124" w:type="dxa"/>
            <w:shd w:val="clear" w:color="auto" w:fill="EAF1F7"/>
          </w:tcPr>
          <w:p w14:paraId="3FD6E7B9" w14:textId="77777777" w:rsidR="00BA232D" w:rsidRDefault="00000000">
            <w:pPr>
              <w:spacing w:after="40" w:line="240" w:lineRule="auto"/>
              <w:rPr>
                <w:rFonts w:cs="Arial"/>
              </w:rPr>
            </w:pPr>
            <w:r>
              <w:rPr>
                <w:rFonts w:cs="Arial"/>
                <w:sz w:val="17"/>
              </w:rPr>
              <w:t>Local model interface</w:t>
            </w:r>
          </w:p>
        </w:tc>
        <w:tc>
          <w:tcPr>
            <w:tcW w:w="4505" w:type="dxa"/>
            <w:shd w:val="clear" w:color="auto" w:fill="EAF1F7"/>
          </w:tcPr>
          <w:p w14:paraId="32847A00" w14:textId="77777777" w:rsidR="00BA232D" w:rsidRDefault="00000000">
            <w:pPr>
              <w:spacing w:after="40" w:line="240" w:lineRule="auto"/>
              <w:rPr>
                <w:rFonts w:cs="Arial"/>
              </w:rPr>
            </w:pPr>
            <w:r>
              <w:rPr>
                <w:rFonts w:cs="Arial"/>
                <w:sz w:val="17"/>
              </w:rPr>
              <w:t>Use a local or approved model for summarisation, drafting and Q&amp;A.</w:t>
            </w:r>
          </w:p>
        </w:tc>
        <w:tc>
          <w:tcPr>
            <w:tcW w:w="3107" w:type="dxa"/>
            <w:shd w:val="clear" w:color="auto" w:fill="EAF1F7"/>
          </w:tcPr>
          <w:p w14:paraId="1F492B04" w14:textId="77777777" w:rsidR="00BA232D" w:rsidRDefault="00000000">
            <w:pPr>
              <w:spacing w:after="40" w:line="240" w:lineRule="auto"/>
              <w:rPr>
                <w:rFonts w:cs="Arial"/>
              </w:rPr>
            </w:pPr>
            <w:r>
              <w:rPr>
                <w:rFonts w:cs="Arial"/>
                <w:sz w:val="17"/>
              </w:rPr>
              <w:t>Model evaluation, model-agnostic switching and no uncontrolled external training.</w:t>
            </w:r>
          </w:p>
        </w:tc>
      </w:tr>
      <w:tr w:rsidR="00BA232D" w14:paraId="57088F13" w14:textId="77777777">
        <w:trPr>
          <w:cantSplit/>
          <w:jc w:val="center"/>
        </w:trPr>
        <w:tc>
          <w:tcPr>
            <w:tcW w:w="2124" w:type="dxa"/>
          </w:tcPr>
          <w:p w14:paraId="170826E3" w14:textId="77777777" w:rsidR="00BA232D" w:rsidRDefault="00000000">
            <w:pPr>
              <w:spacing w:after="40" w:line="240" w:lineRule="auto"/>
              <w:rPr>
                <w:rFonts w:cs="Arial"/>
              </w:rPr>
            </w:pPr>
            <w:r>
              <w:rPr>
                <w:rFonts w:cs="Arial"/>
                <w:sz w:val="17"/>
              </w:rPr>
              <w:t>Structured stores</w:t>
            </w:r>
          </w:p>
        </w:tc>
        <w:tc>
          <w:tcPr>
            <w:tcW w:w="4505" w:type="dxa"/>
          </w:tcPr>
          <w:p w14:paraId="2EC89C92" w14:textId="77777777" w:rsidR="00BA232D" w:rsidRDefault="00000000">
            <w:pPr>
              <w:spacing w:after="40" w:line="240" w:lineRule="auto"/>
              <w:rPr>
                <w:rFonts w:cs="Arial"/>
              </w:rPr>
            </w:pPr>
            <w:r>
              <w:rPr>
                <w:rFonts w:cs="Arial"/>
                <w:sz w:val="17"/>
              </w:rPr>
              <w:t>Action tracker, decision register, conflict register and compliance calendar.</w:t>
            </w:r>
          </w:p>
        </w:tc>
        <w:tc>
          <w:tcPr>
            <w:tcW w:w="3107" w:type="dxa"/>
          </w:tcPr>
          <w:p w14:paraId="612B592A" w14:textId="77777777" w:rsidR="00BA232D" w:rsidRDefault="00000000">
            <w:pPr>
              <w:spacing w:after="40" w:line="240" w:lineRule="auto"/>
              <w:rPr>
                <w:rFonts w:cs="Arial"/>
              </w:rPr>
            </w:pPr>
            <w:r>
              <w:rPr>
                <w:rFonts w:cs="Arial"/>
                <w:sz w:val="17"/>
              </w:rPr>
              <w:t>Human approval before data becomes official.</w:t>
            </w:r>
          </w:p>
        </w:tc>
      </w:tr>
      <w:tr w:rsidR="00BA232D" w14:paraId="7EEE7B4B" w14:textId="77777777">
        <w:trPr>
          <w:cantSplit/>
          <w:jc w:val="center"/>
        </w:trPr>
        <w:tc>
          <w:tcPr>
            <w:tcW w:w="2124" w:type="dxa"/>
            <w:shd w:val="clear" w:color="auto" w:fill="EAF1F7"/>
          </w:tcPr>
          <w:p w14:paraId="7E65BE8A" w14:textId="77777777" w:rsidR="00BA232D" w:rsidRDefault="00000000">
            <w:pPr>
              <w:spacing w:after="40" w:line="240" w:lineRule="auto"/>
              <w:rPr>
                <w:rFonts w:cs="Arial"/>
              </w:rPr>
            </w:pPr>
            <w:r>
              <w:rPr>
                <w:rFonts w:cs="Arial"/>
                <w:sz w:val="17"/>
              </w:rPr>
              <w:t>Secretary interface</w:t>
            </w:r>
          </w:p>
        </w:tc>
        <w:tc>
          <w:tcPr>
            <w:tcW w:w="4505" w:type="dxa"/>
            <w:shd w:val="clear" w:color="auto" w:fill="EAF1F7"/>
          </w:tcPr>
          <w:p w14:paraId="204BB0E4" w14:textId="77777777" w:rsidR="00BA232D" w:rsidRDefault="00000000">
            <w:pPr>
              <w:spacing w:after="40" w:line="240" w:lineRule="auto"/>
              <w:rPr>
                <w:rFonts w:cs="Arial"/>
              </w:rPr>
            </w:pPr>
            <w:r>
              <w:rPr>
                <w:rFonts w:cs="Arial"/>
                <w:sz w:val="17"/>
              </w:rPr>
              <w:t>Review, query, edit, approve, reject and export in house style.</w:t>
            </w:r>
          </w:p>
        </w:tc>
        <w:tc>
          <w:tcPr>
            <w:tcW w:w="3107" w:type="dxa"/>
            <w:shd w:val="clear" w:color="auto" w:fill="EAF1F7"/>
          </w:tcPr>
          <w:p w14:paraId="12CDDEF1" w14:textId="77777777" w:rsidR="00BA232D" w:rsidRDefault="00000000">
            <w:pPr>
              <w:spacing w:after="40" w:line="240" w:lineRule="auto"/>
              <w:rPr>
                <w:rFonts w:cs="Arial"/>
              </w:rPr>
            </w:pPr>
            <w:r>
              <w:rPr>
                <w:rFonts w:cs="Arial"/>
                <w:sz w:val="17"/>
              </w:rPr>
              <w:t>Secretary sign-off and audit trail.</w:t>
            </w:r>
          </w:p>
        </w:tc>
      </w:tr>
      <w:tr w:rsidR="00BA232D" w14:paraId="275DAA57" w14:textId="77777777">
        <w:trPr>
          <w:cantSplit/>
          <w:jc w:val="center"/>
        </w:trPr>
        <w:tc>
          <w:tcPr>
            <w:tcW w:w="2124" w:type="dxa"/>
          </w:tcPr>
          <w:p w14:paraId="1DFCF1D8" w14:textId="77777777" w:rsidR="00BA232D" w:rsidRDefault="00000000">
            <w:pPr>
              <w:spacing w:after="40" w:line="240" w:lineRule="auto"/>
              <w:rPr>
                <w:rFonts w:cs="Arial"/>
              </w:rPr>
            </w:pPr>
            <w:r>
              <w:rPr>
                <w:rFonts w:cs="Arial"/>
                <w:sz w:val="17"/>
              </w:rPr>
              <w:t>Assurance and analytics</w:t>
            </w:r>
          </w:p>
        </w:tc>
        <w:tc>
          <w:tcPr>
            <w:tcW w:w="4505" w:type="dxa"/>
          </w:tcPr>
          <w:p w14:paraId="0BD6C037" w14:textId="77777777" w:rsidR="00BA232D" w:rsidRDefault="00000000">
            <w:pPr>
              <w:spacing w:after="40" w:line="240" w:lineRule="auto"/>
              <w:rPr>
                <w:rFonts w:cs="Arial"/>
              </w:rPr>
            </w:pPr>
            <w:r>
              <w:rPr>
                <w:rFonts w:cs="Arial"/>
                <w:sz w:val="17"/>
              </w:rPr>
              <w:t>Pilot metrics, error review, exception logs and governance reporting.</w:t>
            </w:r>
          </w:p>
        </w:tc>
        <w:tc>
          <w:tcPr>
            <w:tcW w:w="3107" w:type="dxa"/>
          </w:tcPr>
          <w:p w14:paraId="4898C22A" w14:textId="77777777" w:rsidR="00BA232D" w:rsidRDefault="00000000">
            <w:pPr>
              <w:spacing w:after="40" w:line="240" w:lineRule="auto"/>
              <w:rPr>
                <w:rFonts w:cs="Arial"/>
              </w:rPr>
            </w:pPr>
            <w:r>
              <w:rPr>
                <w:rFonts w:cs="Arial"/>
                <w:sz w:val="17"/>
              </w:rPr>
              <w:t>No productivity claim without baseline and post-pilot evidence.</w:t>
            </w:r>
          </w:p>
        </w:tc>
      </w:tr>
    </w:tbl>
    <w:p w14:paraId="4F5C805B" w14:textId="77777777" w:rsidR="00BA232D" w:rsidRDefault="00BA232D"/>
    <w:p w14:paraId="2AB4F81B" w14:textId="77777777" w:rsidR="00BA232D" w:rsidRDefault="00000000" w:rsidP="00FC130A">
      <w:pPr>
        <w:pStyle w:val="Heading2"/>
        <w:spacing w:before="200"/>
        <w:jc w:val="lowKashida"/>
      </w:pPr>
      <w:bookmarkStart w:id="32" w:name="_Toc234699812"/>
      <w:bookmarkStart w:id="33" w:name="_Toc234702414"/>
      <w:r>
        <w:rPr>
          <w:rFonts w:ascii="Arial" w:eastAsia="Arial" w:hAnsi="Arial"/>
        </w:rPr>
        <w:t>5.4 The disruptive change in professional practice</w:t>
      </w:r>
      <w:bookmarkEnd w:id="32"/>
      <w:bookmarkEnd w:id="33"/>
    </w:p>
    <w:p w14:paraId="7B9EDD80" w14:textId="77777777" w:rsidR="00BA232D" w:rsidRDefault="00000000" w:rsidP="00FC130A">
      <w:pPr>
        <w:spacing w:line="276" w:lineRule="auto"/>
        <w:jc w:val="lowKashida"/>
      </w:pPr>
      <w:r>
        <w:t>The primary change in professional practice resulting from the development and implementation of Secretariat-in-a-Box is not that artificial intelligence drafts minutes. The real disruption is that the methods used by secretaries become visible. Thus, instead of having tacit knowledge about agenda logic, finding authority lookups, carrying forward unresolved action items, extracting decisions, maintaining corporate memory; expertise is demonstrated via configuring, reviewing, challenging, improving a cited governance system. This demonstrates judgement without increasing fragility.</w:t>
      </w:r>
    </w:p>
    <w:p w14:paraId="75FE75A5" w14:textId="77777777" w:rsidR="00FC130A" w:rsidRDefault="00FC130A">
      <w:pPr>
        <w:spacing w:after="0" w:line="240" w:lineRule="auto"/>
        <w:rPr>
          <w:rFonts w:cstheme="majorBidi"/>
          <w:b/>
          <w:bCs/>
          <w:color w:val="1F4E79"/>
          <w:sz w:val="32"/>
          <w:szCs w:val="28"/>
        </w:rPr>
      </w:pPr>
      <w:bookmarkStart w:id="34" w:name="_Toc234699813"/>
      <w:r>
        <w:br w:type="page"/>
      </w:r>
    </w:p>
    <w:p w14:paraId="18A47276" w14:textId="1CA80CC4" w:rsidR="00BA232D" w:rsidRDefault="00000000" w:rsidP="00FC130A">
      <w:pPr>
        <w:pStyle w:val="Heading1"/>
        <w:spacing w:before="280" w:after="120"/>
        <w:jc w:val="lowKashida"/>
      </w:pPr>
      <w:bookmarkStart w:id="35" w:name="_Toc234702415"/>
      <w:r>
        <w:rPr>
          <w:rFonts w:ascii="Arial" w:eastAsia="Arial" w:hAnsi="Arial"/>
        </w:rPr>
        <w:lastRenderedPageBreak/>
        <w:t>6. Implementation and Application</w:t>
      </w:r>
      <w:bookmarkEnd w:id="34"/>
      <w:bookmarkEnd w:id="35"/>
    </w:p>
    <w:p w14:paraId="77C7CF30" w14:textId="77777777" w:rsidR="00BA232D" w:rsidRDefault="00000000" w:rsidP="00FC130A">
      <w:pPr>
        <w:spacing w:line="276" w:lineRule="auto"/>
        <w:jc w:val="lowKashida"/>
      </w:pPr>
      <w:r>
        <w:t>The implementation will follow the stabilisation, building, piloting, evaluating and scaling process, and is consistent with the stabilising logic of Module 1, and the disciplined approach to pilots in Module 2. The basic idea behind this approach is that a governance platform cannot be scaled based on how much people like it. A governance platform will only be able to scale when there is sufficient evidence to suggest that it increases governance quality without increasing unacceptable levels of risk or bureaucratic burden.</w:t>
      </w:r>
    </w:p>
    <w:p w14:paraId="476458BA" w14:textId="77777777" w:rsidR="00BA232D" w:rsidRDefault="00000000">
      <w:pPr>
        <w:pStyle w:val="Caption"/>
        <w:spacing w:before="120" w:after="40"/>
      </w:pPr>
      <w:r>
        <w:t>Table 6. Phased roadmap with decision gates.</w:t>
      </w:r>
    </w:p>
    <w:tbl>
      <w:tblPr>
        <w:tblStyle w:val="TableGrid"/>
        <w:tblW w:w="9736" w:type="dxa"/>
        <w:jc w:val="center"/>
        <w:tblLayout w:type="fixed"/>
        <w:tblLook w:val="04A0" w:firstRow="1" w:lastRow="0" w:firstColumn="1" w:lastColumn="0" w:noHBand="0" w:noVBand="1"/>
      </w:tblPr>
      <w:tblGrid>
        <w:gridCol w:w="1513"/>
        <w:gridCol w:w="1910"/>
        <w:gridCol w:w="3251"/>
        <w:gridCol w:w="3062"/>
      </w:tblGrid>
      <w:tr w:rsidR="00BA232D" w14:paraId="1FB6D67E" w14:textId="77777777">
        <w:trPr>
          <w:cantSplit/>
          <w:tblHeader/>
          <w:jc w:val="center"/>
        </w:trPr>
        <w:tc>
          <w:tcPr>
            <w:tcW w:w="1512" w:type="dxa"/>
            <w:shd w:val="clear" w:color="auto" w:fill="1F4E79"/>
          </w:tcPr>
          <w:p w14:paraId="6FACADCF" w14:textId="77777777" w:rsidR="00BA232D" w:rsidRDefault="00000000">
            <w:pPr>
              <w:spacing w:after="40" w:line="240" w:lineRule="auto"/>
              <w:rPr>
                <w:rFonts w:cs="Arial"/>
              </w:rPr>
            </w:pPr>
            <w:r>
              <w:rPr>
                <w:rFonts w:cs="Arial"/>
                <w:b/>
                <w:color w:val="FFFFFF"/>
                <w:sz w:val="17"/>
              </w:rPr>
              <w:t>Phase</w:t>
            </w:r>
          </w:p>
        </w:tc>
        <w:tc>
          <w:tcPr>
            <w:tcW w:w="1910" w:type="dxa"/>
            <w:shd w:val="clear" w:color="auto" w:fill="1F4E79"/>
          </w:tcPr>
          <w:p w14:paraId="4E94E106" w14:textId="77777777" w:rsidR="00BA232D" w:rsidRDefault="00000000">
            <w:pPr>
              <w:spacing w:after="40" w:line="240" w:lineRule="auto"/>
              <w:rPr>
                <w:rFonts w:cs="Arial"/>
              </w:rPr>
            </w:pPr>
            <w:r>
              <w:rPr>
                <w:rFonts w:cs="Arial"/>
                <w:b/>
                <w:color w:val="FFFFFF"/>
                <w:sz w:val="17"/>
              </w:rPr>
              <w:t>Purpose</w:t>
            </w:r>
          </w:p>
        </w:tc>
        <w:tc>
          <w:tcPr>
            <w:tcW w:w="3251" w:type="dxa"/>
            <w:shd w:val="clear" w:color="auto" w:fill="1F4E79"/>
          </w:tcPr>
          <w:p w14:paraId="408982B7" w14:textId="77777777" w:rsidR="00BA232D" w:rsidRDefault="00000000">
            <w:pPr>
              <w:spacing w:after="40" w:line="240" w:lineRule="auto"/>
              <w:rPr>
                <w:rFonts w:cs="Arial"/>
              </w:rPr>
            </w:pPr>
            <w:r>
              <w:rPr>
                <w:rFonts w:cs="Arial"/>
                <w:b/>
                <w:color w:val="FFFFFF"/>
                <w:sz w:val="17"/>
              </w:rPr>
              <w:t>Main outputs</w:t>
            </w:r>
          </w:p>
        </w:tc>
        <w:tc>
          <w:tcPr>
            <w:tcW w:w="3062" w:type="dxa"/>
            <w:shd w:val="clear" w:color="auto" w:fill="1F4E79"/>
          </w:tcPr>
          <w:p w14:paraId="766870A8" w14:textId="77777777" w:rsidR="00BA232D" w:rsidRDefault="00000000">
            <w:pPr>
              <w:spacing w:after="40" w:line="240" w:lineRule="auto"/>
              <w:rPr>
                <w:rFonts w:cs="Arial"/>
              </w:rPr>
            </w:pPr>
            <w:r>
              <w:rPr>
                <w:rFonts w:cs="Arial"/>
                <w:b/>
                <w:color w:val="FFFFFF"/>
                <w:sz w:val="17"/>
              </w:rPr>
              <w:t>Decision gate</w:t>
            </w:r>
          </w:p>
        </w:tc>
      </w:tr>
      <w:tr w:rsidR="00BA232D" w14:paraId="31942758" w14:textId="77777777">
        <w:trPr>
          <w:cantSplit/>
          <w:jc w:val="center"/>
        </w:trPr>
        <w:tc>
          <w:tcPr>
            <w:tcW w:w="1512" w:type="dxa"/>
          </w:tcPr>
          <w:p w14:paraId="444F642F" w14:textId="77777777" w:rsidR="00BA232D" w:rsidRDefault="00000000">
            <w:pPr>
              <w:spacing w:after="40" w:line="240" w:lineRule="auto"/>
              <w:rPr>
                <w:rFonts w:cs="Arial"/>
              </w:rPr>
            </w:pPr>
            <w:r>
              <w:rPr>
                <w:rFonts w:cs="Arial"/>
                <w:sz w:val="17"/>
              </w:rPr>
              <w:t>0. Mandate and scope</w:t>
            </w:r>
          </w:p>
        </w:tc>
        <w:tc>
          <w:tcPr>
            <w:tcW w:w="1910" w:type="dxa"/>
          </w:tcPr>
          <w:p w14:paraId="34C332B2" w14:textId="77777777" w:rsidR="00BA232D" w:rsidRDefault="00000000">
            <w:pPr>
              <w:spacing w:after="40" w:line="240" w:lineRule="auto"/>
              <w:rPr>
                <w:rFonts w:cs="Arial"/>
              </w:rPr>
            </w:pPr>
            <w:r>
              <w:rPr>
                <w:rFonts w:cs="Arial"/>
                <w:sz w:val="17"/>
              </w:rPr>
              <w:t>Secure sponsorship and define boundaries.</w:t>
            </w:r>
          </w:p>
        </w:tc>
        <w:tc>
          <w:tcPr>
            <w:tcW w:w="3251" w:type="dxa"/>
          </w:tcPr>
          <w:p w14:paraId="3F7CA56A" w14:textId="77777777" w:rsidR="00BA232D" w:rsidRDefault="00000000">
            <w:pPr>
              <w:spacing w:after="40" w:line="240" w:lineRule="auto"/>
              <w:rPr>
                <w:rFonts w:cs="Arial"/>
              </w:rPr>
            </w:pPr>
            <w:r>
              <w:rPr>
                <w:rFonts w:cs="Arial"/>
                <w:sz w:val="17"/>
              </w:rPr>
              <w:t>Approved problem statement, pilot sponsor, legal boundaries, data classification and accountability model.</w:t>
            </w:r>
          </w:p>
        </w:tc>
        <w:tc>
          <w:tcPr>
            <w:tcW w:w="3062" w:type="dxa"/>
          </w:tcPr>
          <w:p w14:paraId="2BE2A9AD" w14:textId="77777777" w:rsidR="00BA232D" w:rsidRDefault="00000000">
            <w:pPr>
              <w:spacing w:after="40" w:line="240" w:lineRule="auto"/>
              <w:rPr>
                <w:rFonts w:cs="Arial"/>
              </w:rPr>
            </w:pPr>
            <w:r>
              <w:rPr>
                <w:rFonts w:cs="Arial"/>
                <w:sz w:val="17"/>
              </w:rPr>
              <w:t>Proceed only if Legal, Digital, Cybersecurity and PCAD agree the pilot scope.</w:t>
            </w:r>
          </w:p>
        </w:tc>
      </w:tr>
      <w:tr w:rsidR="00BA232D" w14:paraId="0E127E5F" w14:textId="77777777">
        <w:trPr>
          <w:cantSplit/>
          <w:jc w:val="center"/>
        </w:trPr>
        <w:tc>
          <w:tcPr>
            <w:tcW w:w="1512" w:type="dxa"/>
            <w:shd w:val="clear" w:color="auto" w:fill="EAF1F7"/>
          </w:tcPr>
          <w:p w14:paraId="1BB6181D" w14:textId="77777777" w:rsidR="00BA232D" w:rsidRDefault="00000000">
            <w:pPr>
              <w:spacing w:after="40" w:line="240" w:lineRule="auto"/>
              <w:rPr>
                <w:rFonts w:cs="Arial"/>
              </w:rPr>
            </w:pPr>
            <w:r>
              <w:rPr>
                <w:rFonts w:cs="Arial"/>
                <w:sz w:val="17"/>
              </w:rPr>
              <w:t>1. Stabilise the corpus</w:t>
            </w:r>
          </w:p>
        </w:tc>
        <w:tc>
          <w:tcPr>
            <w:tcW w:w="1910" w:type="dxa"/>
            <w:shd w:val="clear" w:color="auto" w:fill="EAF1F7"/>
          </w:tcPr>
          <w:p w14:paraId="33C7CC67" w14:textId="77777777" w:rsidR="00BA232D" w:rsidRDefault="00000000">
            <w:pPr>
              <w:spacing w:after="40" w:line="240" w:lineRule="auto"/>
              <w:rPr>
                <w:rFonts w:cs="Arial"/>
              </w:rPr>
            </w:pPr>
            <w:r>
              <w:rPr>
                <w:rFonts w:cs="Arial"/>
                <w:sz w:val="17"/>
              </w:rPr>
              <w:t>Prepare the documents before the model touches them.</w:t>
            </w:r>
          </w:p>
        </w:tc>
        <w:tc>
          <w:tcPr>
            <w:tcW w:w="3251" w:type="dxa"/>
            <w:shd w:val="clear" w:color="auto" w:fill="EAF1F7"/>
          </w:tcPr>
          <w:p w14:paraId="12F96A48" w14:textId="77777777" w:rsidR="00BA232D" w:rsidRDefault="00000000">
            <w:pPr>
              <w:spacing w:after="40" w:line="240" w:lineRule="auto"/>
              <w:rPr>
                <w:rFonts w:cs="Arial"/>
              </w:rPr>
            </w:pPr>
            <w:r>
              <w:rPr>
                <w:rFonts w:cs="Arial"/>
                <w:sz w:val="17"/>
              </w:rPr>
              <w:t xml:space="preserve">Folder taxonomy, approved charters, </w:t>
            </w:r>
            <w:proofErr w:type="spellStart"/>
            <w:r>
              <w:rPr>
                <w:rFonts w:cs="Arial"/>
                <w:sz w:val="17"/>
              </w:rPr>
              <w:t>DoA</w:t>
            </w:r>
            <w:proofErr w:type="spellEnd"/>
            <w:r>
              <w:rPr>
                <w:rFonts w:cs="Arial"/>
                <w:sz w:val="17"/>
              </w:rPr>
              <w:t>, policies, minutes, templates, action registers and version control.</w:t>
            </w:r>
          </w:p>
        </w:tc>
        <w:tc>
          <w:tcPr>
            <w:tcW w:w="3062" w:type="dxa"/>
            <w:shd w:val="clear" w:color="auto" w:fill="EAF1F7"/>
          </w:tcPr>
          <w:p w14:paraId="056EFDFD" w14:textId="77777777" w:rsidR="00BA232D" w:rsidRDefault="00000000">
            <w:pPr>
              <w:spacing w:after="40" w:line="240" w:lineRule="auto"/>
              <w:rPr>
                <w:rFonts w:cs="Arial"/>
              </w:rPr>
            </w:pPr>
            <w:r>
              <w:rPr>
                <w:rFonts w:cs="Arial"/>
                <w:sz w:val="17"/>
              </w:rPr>
              <w:t>Proceed only if the document corpus is complete enough for useful retrieval.</w:t>
            </w:r>
          </w:p>
        </w:tc>
      </w:tr>
      <w:tr w:rsidR="00BA232D" w14:paraId="134BEF74" w14:textId="77777777">
        <w:trPr>
          <w:cantSplit/>
          <w:jc w:val="center"/>
        </w:trPr>
        <w:tc>
          <w:tcPr>
            <w:tcW w:w="1512" w:type="dxa"/>
          </w:tcPr>
          <w:p w14:paraId="7686C379" w14:textId="77777777" w:rsidR="00BA232D" w:rsidRDefault="00000000">
            <w:pPr>
              <w:spacing w:after="40" w:line="240" w:lineRule="auto"/>
              <w:rPr>
                <w:rFonts w:cs="Arial"/>
              </w:rPr>
            </w:pPr>
            <w:r>
              <w:rPr>
                <w:rFonts w:cs="Arial"/>
                <w:sz w:val="17"/>
              </w:rPr>
              <w:t>2. MVP build</w:t>
            </w:r>
          </w:p>
        </w:tc>
        <w:tc>
          <w:tcPr>
            <w:tcW w:w="1910" w:type="dxa"/>
          </w:tcPr>
          <w:p w14:paraId="2B05E54E" w14:textId="77777777" w:rsidR="00BA232D" w:rsidRDefault="00000000">
            <w:pPr>
              <w:spacing w:after="40" w:line="240" w:lineRule="auto"/>
              <w:rPr>
                <w:rFonts w:cs="Arial"/>
              </w:rPr>
            </w:pPr>
            <w:r>
              <w:rPr>
                <w:rFonts w:cs="Arial"/>
                <w:sz w:val="17"/>
              </w:rPr>
              <w:t>Create the smallest credible product.</w:t>
            </w:r>
          </w:p>
        </w:tc>
        <w:tc>
          <w:tcPr>
            <w:tcW w:w="3251" w:type="dxa"/>
          </w:tcPr>
          <w:p w14:paraId="1C3AADFD" w14:textId="77777777" w:rsidR="00BA232D" w:rsidRDefault="00000000">
            <w:pPr>
              <w:spacing w:after="40" w:line="240" w:lineRule="auto"/>
              <w:rPr>
                <w:rFonts w:cs="Arial"/>
              </w:rPr>
            </w:pPr>
            <w:r>
              <w:rPr>
                <w:rFonts w:cs="Arial"/>
                <w:sz w:val="17"/>
              </w:rPr>
              <w:t xml:space="preserve">Cited Q&amp;A, </w:t>
            </w:r>
            <w:proofErr w:type="spellStart"/>
            <w:r>
              <w:rPr>
                <w:rFonts w:cs="Arial"/>
                <w:sz w:val="17"/>
              </w:rPr>
              <w:t>DoA</w:t>
            </w:r>
            <w:proofErr w:type="spellEnd"/>
            <w:r>
              <w:rPr>
                <w:rFonts w:cs="Arial"/>
                <w:sz w:val="17"/>
              </w:rPr>
              <w:t xml:space="preserve"> checks, first-draft minutes, decision extraction and persistent action tracker.</w:t>
            </w:r>
          </w:p>
        </w:tc>
        <w:tc>
          <w:tcPr>
            <w:tcW w:w="3062" w:type="dxa"/>
          </w:tcPr>
          <w:p w14:paraId="123195C9" w14:textId="77777777" w:rsidR="00BA232D" w:rsidRDefault="00000000">
            <w:pPr>
              <w:spacing w:after="40" w:line="240" w:lineRule="auto"/>
              <w:rPr>
                <w:rFonts w:cs="Arial"/>
              </w:rPr>
            </w:pPr>
            <w:r>
              <w:rPr>
                <w:rFonts w:cs="Arial"/>
                <w:sz w:val="17"/>
              </w:rPr>
              <w:t>Proceed only if test queries meet citation and unknown-response standards.</w:t>
            </w:r>
          </w:p>
        </w:tc>
      </w:tr>
      <w:tr w:rsidR="00BA232D" w14:paraId="7B43485F" w14:textId="77777777">
        <w:trPr>
          <w:cantSplit/>
          <w:jc w:val="center"/>
        </w:trPr>
        <w:tc>
          <w:tcPr>
            <w:tcW w:w="1512" w:type="dxa"/>
            <w:shd w:val="clear" w:color="auto" w:fill="EAF1F7"/>
          </w:tcPr>
          <w:p w14:paraId="632DE7CA" w14:textId="77777777" w:rsidR="00BA232D" w:rsidRDefault="00000000">
            <w:pPr>
              <w:spacing w:after="40" w:line="240" w:lineRule="auto"/>
              <w:rPr>
                <w:rFonts w:cs="Arial"/>
              </w:rPr>
            </w:pPr>
            <w:r>
              <w:rPr>
                <w:rFonts w:cs="Arial"/>
                <w:sz w:val="17"/>
              </w:rPr>
              <w:t>3. Controlled pilot</w:t>
            </w:r>
          </w:p>
        </w:tc>
        <w:tc>
          <w:tcPr>
            <w:tcW w:w="1910" w:type="dxa"/>
            <w:shd w:val="clear" w:color="auto" w:fill="EAF1F7"/>
          </w:tcPr>
          <w:p w14:paraId="7322287D" w14:textId="77777777" w:rsidR="00BA232D" w:rsidRDefault="00000000">
            <w:pPr>
              <w:spacing w:after="40" w:line="240" w:lineRule="auto"/>
              <w:rPr>
                <w:rFonts w:cs="Arial"/>
              </w:rPr>
            </w:pPr>
            <w:r>
              <w:rPr>
                <w:rFonts w:cs="Arial"/>
                <w:sz w:val="17"/>
              </w:rPr>
              <w:t>Test in two or three willing companies or Board committees.</w:t>
            </w:r>
          </w:p>
        </w:tc>
        <w:tc>
          <w:tcPr>
            <w:tcW w:w="3251" w:type="dxa"/>
            <w:shd w:val="clear" w:color="auto" w:fill="EAF1F7"/>
          </w:tcPr>
          <w:p w14:paraId="00784A23" w14:textId="77777777" w:rsidR="00BA232D" w:rsidRDefault="00000000">
            <w:pPr>
              <w:spacing w:after="40" w:line="240" w:lineRule="auto"/>
              <w:rPr>
                <w:rFonts w:cs="Arial"/>
              </w:rPr>
            </w:pPr>
            <w:r>
              <w:rPr>
                <w:rFonts w:cs="Arial"/>
                <w:sz w:val="17"/>
              </w:rPr>
              <w:t>Baseline measures, live usage, user feedback, error log, assurance review and revised workflow.</w:t>
            </w:r>
          </w:p>
        </w:tc>
        <w:tc>
          <w:tcPr>
            <w:tcW w:w="3062" w:type="dxa"/>
            <w:shd w:val="clear" w:color="auto" w:fill="EAF1F7"/>
          </w:tcPr>
          <w:p w14:paraId="21C0C49C" w14:textId="77777777" w:rsidR="00BA232D" w:rsidRDefault="00000000">
            <w:pPr>
              <w:spacing w:after="40" w:line="240" w:lineRule="auto"/>
              <w:rPr>
                <w:rFonts w:cs="Arial"/>
              </w:rPr>
            </w:pPr>
            <w:r>
              <w:rPr>
                <w:rFonts w:cs="Arial"/>
                <w:sz w:val="17"/>
              </w:rPr>
              <w:t>Proceed only if benefits exceed adoption and control burdens.</w:t>
            </w:r>
          </w:p>
        </w:tc>
      </w:tr>
      <w:tr w:rsidR="00BA232D" w14:paraId="2B0C0C5A" w14:textId="77777777">
        <w:trPr>
          <w:cantSplit/>
          <w:jc w:val="center"/>
        </w:trPr>
        <w:tc>
          <w:tcPr>
            <w:tcW w:w="1512" w:type="dxa"/>
          </w:tcPr>
          <w:p w14:paraId="5F3C5697" w14:textId="77777777" w:rsidR="00BA232D" w:rsidRDefault="00000000">
            <w:pPr>
              <w:spacing w:after="40" w:line="240" w:lineRule="auto"/>
              <w:rPr>
                <w:rFonts w:cs="Arial"/>
              </w:rPr>
            </w:pPr>
            <w:r>
              <w:rPr>
                <w:rFonts w:cs="Arial"/>
                <w:sz w:val="17"/>
              </w:rPr>
              <w:t>4. Evaluate and regularise</w:t>
            </w:r>
          </w:p>
        </w:tc>
        <w:tc>
          <w:tcPr>
            <w:tcW w:w="1910" w:type="dxa"/>
          </w:tcPr>
          <w:p w14:paraId="28D2BAA5" w14:textId="77777777" w:rsidR="00BA232D" w:rsidRDefault="00000000">
            <w:pPr>
              <w:spacing w:after="40" w:line="240" w:lineRule="auto"/>
              <w:rPr>
                <w:rFonts w:cs="Arial"/>
              </w:rPr>
            </w:pPr>
            <w:r>
              <w:rPr>
                <w:rFonts w:cs="Arial"/>
                <w:sz w:val="17"/>
              </w:rPr>
              <w:t>Decide whether to continue, stop or redesign.</w:t>
            </w:r>
          </w:p>
        </w:tc>
        <w:tc>
          <w:tcPr>
            <w:tcW w:w="3251" w:type="dxa"/>
          </w:tcPr>
          <w:p w14:paraId="374F12F9" w14:textId="77777777" w:rsidR="00BA232D" w:rsidRDefault="00000000">
            <w:pPr>
              <w:spacing w:after="40" w:line="240" w:lineRule="auto"/>
              <w:rPr>
                <w:rFonts w:cs="Arial"/>
              </w:rPr>
            </w:pPr>
            <w:r>
              <w:rPr>
                <w:rFonts w:cs="Arial"/>
                <w:sz w:val="17"/>
              </w:rPr>
              <w:t>Pilot report, risk assessment, revised business case and operating model.</w:t>
            </w:r>
          </w:p>
        </w:tc>
        <w:tc>
          <w:tcPr>
            <w:tcW w:w="3062" w:type="dxa"/>
          </w:tcPr>
          <w:p w14:paraId="6F97BBC9" w14:textId="77777777" w:rsidR="00BA232D" w:rsidRDefault="00000000">
            <w:pPr>
              <w:spacing w:after="40" w:line="240" w:lineRule="auto"/>
              <w:rPr>
                <w:rFonts w:cs="Arial"/>
              </w:rPr>
            </w:pPr>
            <w:r>
              <w:rPr>
                <w:rFonts w:cs="Arial"/>
                <w:sz w:val="17"/>
              </w:rPr>
              <w:t>Scale only if senior management accepts measured evidence.</w:t>
            </w:r>
          </w:p>
        </w:tc>
      </w:tr>
      <w:tr w:rsidR="00BA232D" w14:paraId="30FD01B9" w14:textId="77777777">
        <w:trPr>
          <w:cantSplit/>
          <w:jc w:val="center"/>
        </w:trPr>
        <w:tc>
          <w:tcPr>
            <w:tcW w:w="1512" w:type="dxa"/>
            <w:shd w:val="clear" w:color="auto" w:fill="EAF1F7"/>
          </w:tcPr>
          <w:p w14:paraId="084295C4" w14:textId="77777777" w:rsidR="00BA232D" w:rsidRDefault="00000000">
            <w:pPr>
              <w:spacing w:after="40" w:line="240" w:lineRule="auto"/>
              <w:rPr>
                <w:rFonts w:cs="Arial"/>
              </w:rPr>
            </w:pPr>
            <w:r>
              <w:rPr>
                <w:rFonts w:cs="Arial"/>
                <w:sz w:val="17"/>
              </w:rPr>
              <w:t>5. Scale and productise</w:t>
            </w:r>
          </w:p>
        </w:tc>
        <w:tc>
          <w:tcPr>
            <w:tcW w:w="1910" w:type="dxa"/>
            <w:shd w:val="clear" w:color="auto" w:fill="EAF1F7"/>
          </w:tcPr>
          <w:p w14:paraId="7D783519" w14:textId="77777777" w:rsidR="00BA232D" w:rsidRDefault="00000000">
            <w:pPr>
              <w:spacing w:after="40" w:line="240" w:lineRule="auto"/>
              <w:rPr>
                <w:rFonts w:cs="Arial"/>
              </w:rPr>
            </w:pPr>
            <w:r>
              <w:rPr>
                <w:rFonts w:cs="Arial"/>
                <w:sz w:val="17"/>
              </w:rPr>
              <w:t>Extend to additional companies and jurisdiction packs.</w:t>
            </w:r>
          </w:p>
        </w:tc>
        <w:tc>
          <w:tcPr>
            <w:tcW w:w="3251" w:type="dxa"/>
            <w:shd w:val="clear" w:color="auto" w:fill="EAF1F7"/>
          </w:tcPr>
          <w:p w14:paraId="079A096E" w14:textId="77777777" w:rsidR="00BA232D" w:rsidRDefault="00000000">
            <w:pPr>
              <w:spacing w:after="40" w:line="240" w:lineRule="auto"/>
              <w:rPr>
                <w:rFonts w:cs="Arial"/>
              </w:rPr>
            </w:pPr>
            <w:r>
              <w:rPr>
                <w:rFonts w:cs="Arial"/>
                <w:sz w:val="17"/>
              </w:rPr>
              <w:t>Configuration toolkit, secretary academy, support model, assurance dashboard and commercial options.</w:t>
            </w:r>
          </w:p>
        </w:tc>
        <w:tc>
          <w:tcPr>
            <w:tcW w:w="3062" w:type="dxa"/>
            <w:shd w:val="clear" w:color="auto" w:fill="EAF1F7"/>
          </w:tcPr>
          <w:p w14:paraId="3B68727D" w14:textId="77777777" w:rsidR="00BA232D" w:rsidRDefault="00000000">
            <w:pPr>
              <w:spacing w:after="40" w:line="240" w:lineRule="auto"/>
              <w:rPr>
                <w:rFonts w:cs="Arial"/>
              </w:rPr>
            </w:pPr>
            <w:r>
              <w:rPr>
                <w:rFonts w:cs="Arial"/>
                <w:sz w:val="17"/>
              </w:rPr>
              <w:t>Continue only with annual model, risk and value review.</w:t>
            </w:r>
          </w:p>
        </w:tc>
      </w:tr>
    </w:tbl>
    <w:p w14:paraId="7537E7A7" w14:textId="77777777" w:rsidR="00BA232D" w:rsidRDefault="00000000">
      <w:pPr>
        <w:pStyle w:val="Heading2"/>
        <w:spacing w:before="200"/>
      </w:pPr>
      <w:bookmarkStart w:id="36" w:name="_Toc234699814"/>
      <w:bookmarkStart w:id="37" w:name="_Toc234702416"/>
      <w:r>
        <w:rPr>
          <w:rFonts w:ascii="Arial" w:eastAsia="Arial" w:hAnsi="Arial"/>
        </w:rPr>
        <w:t>6.1 Pilot design</w:t>
      </w:r>
      <w:bookmarkEnd w:id="36"/>
      <w:bookmarkEnd w:id="37"/>
    </w:p>
    <w:p w14:paraId="7CBEDC83" w14:textId="77777777" w:rsidR="00BA232D" w:rsidRDefault="00000000" w:rsidP="00FC130A">
      <w:pPr>
        <w:spacing w:line="276" w:lineRule="auto"/>
        <w:jc w:val="lowKashida"/>
      </w:pPr>
      <w:r>
        <w:t>Selecting an appropriate pilot is crucial. In my opinion, the pilot should select organisations or boards that have all the following characteristics: sufficient governance documents, an available Board secretary, a supportive Chair for the pilot, and a moderate level of confidentiality exposure. The pilot should not choose the most politically sensitive boards. The aim is to choose those boards where the action tracker, agenda carry-forward and cited document lookup can easily show the benefits of using the tool with minimal risk.</w:t>
      </w:r>
    </w:p>
    <w:p w14:paraId="411E8EB1" w14:textId="77777777" w:rsidR="00BA232D" w:rsidRDefault="00000000" w:rsidP="00FC130A">
      <w:pPr>
        <w:spacing w:line="276" w:lineRule="auto"/>
        <w:jc w:val="lowKashida"/>
      </w:pPr>
      <w:r>
        <w:t>The pilot will compare performance (baseline &amp; post-pilot) using a group of meetings as a comparison. The baseline will be set by using the data collected during the pilot, for measuring the improvements in performance that occur when the tool is used. For example, the following metrics could be utilised to measure baseline performance prior to implementing the tool:</w:t>
      </w:r>
    </w:p>
    <w:p w14:paraId="4C54F4F1" w14:textId="77777777" w:rsidR="00BA232D" w:rsidRDefault="00000000" w:rsidP="00FC130A">
      <w:pPr>
        <w:pStyle w:val="ListParagraph"/>
        <w:numPr>
          <w:ilvl w:val="0"/>
          <w:numId w:val="8"/>
        </w:numPr>
        <w:spacing w:line="276" w:lineRule="auto"/>
        <w:jc w:val="lowKashida"/>
      </w:pPr>
      <w:r>
        <w:t>Days until draft minutes are prepared</w:t>
      </w:r>
    </w:p>
    <w:p w14:paraId="724596D1" w14:textId="77777777" w:rsidR="00BA232D" w:rsidRDefault="00000000" w:rsidP="00FC130A">
      <w:pPr>
        <w:pStyle w:val="ListParagraph"/>
        <w:numPr>
          <w:ilvl w:val="0"/>
          <w:numId w:val="8"/>
        </w:numPr>
        <w:spacing w:line="276" w:lineRule="auto"/>
        <w:jc w:val="lowKashida"/>
      </w:pPr>
      <w:r>
        <w:t>Number of rework cycles</w:t>
      </w:r>
    </w:p>
    <w:p w14:paraId="72B7C4E3" w14:textId="77777777" w:rsidR="00BA232D" w:rsidRDefault="00000000" w:rsidP="00FC130A">
      <w:pPr>
        <w:pStyle w:val="ListParagraph"/>
        <w:numPr>
          <w:ilvl w:val="0"/>
          <w:numId w:val="8"/>
        </w:numPr>
        <w:spacing w:line="276" w:lineRule="auto"/>
        <w:jc w:val="lowKashida"/>
      </w:pPr>
      <w:r>
        <w:t>Number of overdue actions</w:t>
      </w:r>
    </w:p>
    <w:p w14:paraId="0F092723" w14:textId="77777777" w:rsidR="00BA232D" w:rsidRDefault="00000000" w:rsidP="00FC130A">
      <w:pPr>
        <w:pStyle w:val="ListParagraph"/>
        <w:numPr>
          <w:ilvl w:val="0"/>
          <w:numId w:val="8"/>
        </w:numPr>
        <w:spacing w:line="276" w:lineRule="auto"/>
        <w:jc w:val="lowKashida"/>
      </w:pPr>
      <w:r>
        <w:t>Number of authority queries</w:t>
      </w:r>
    </w:p>
    <w:p w14:paraId="6D2F2821" w14:textId="77777777" w:rsidR="00BA232D" w:rsidRDefault="00000000" w:rsidP="00FC130A">
      <w:pPr>
        <w:pStyle w:val="ListParagraph"/>
        <w:numPr>
          <w:ilvl w:val="0"/>
          <w:numId w:val="8"/>
        </w:numPr>
        <w:spacing w:line="276" w:lineRule="auto"/>
        <w:jc w:val="lowKashida"/>
      </w:pPr>
      <w:r>
        <w:t>Frequency of agendas missing items</w:t>
      </w:r>
    </w:p>
    <w:p w14:paraId="45235F97" w14:textId="77777777" w:rsidR="00BA232D" w:rsidRDefault="00000000" w:rsidP="00FC130A">
      <w:pPr>
        <w:pStyle w:val="ListParagraph"/>
        <w:numPr>
          <w:ilvl w:val="0"/>
          <w:numId w:val="8"/>
        </w:numPr>
        <w:spacing w:line="276" w:lineRule="auto"/>
        <w:jc w:val="lowKashida"/>
      </w:pPr>
      <w:r>
        <w:t>User confidence</w:t>
      </w:r>
    </w:p>
    <w:p w14:paraId="79170961" w14:textId="77777777" w:rsidR="00BA232D" w:rsidRDefault="00000000" w:rsidP="00FC130A">
      <w:pPr>
        <w:spacing w:line="276" w:lineRule="auto"/>
        <w:jc w:val="lowKashida"/>
      </w:pPr>
      <w:r>
        <w:t>Without collecting these metrics prior to launching the pilot we run the same risks as in Module 2, i.e., inability to quantify how beneficial the results are going to be.</w:t>
      </w:r>
    </w:p>
    <w:p w14:paraId="03CFD32A" w14:textId="77777777" w:rsidR="00BA232D" w:rsidRDefault="00000000">
      <w:pPr>
        <w:pStyle w:val="Heading2"/>
        <w:spacing w:before="200"/>
      </w:pPr>
      <w:bookmarkStart w:id="38" w:name="_Toc234699815"/>
      <w:bookmarkStart w:id="39" w:name="_Toc234702417"/>
      <w:r>
        <w:rPr>
          <w:rFonts w:ascii="Arial" w:eastAsia="Arial" w:hAnsi="Arial"/>
        </w:rPr>
        <w:t>6.2 Operating model and accountabilities</w:t>
      </w:r>
      <w:bookmarkEnd w:id="38"/>
      <w:bookmarkEnd w:id="39"/>
    </w:p>
    <w:p w14:paraId="56E4AEB9" w14:textId="77777777" w:rsidR="00BA232D" w:rsidRDefault="00000000">
      <w:pPr>
        <w:spacing w:line="276" w:lineRule="auto"/>
      </w:pPr>
      <w:r>
        <w:t>Setting clear roles and responsibilities will prevent mandate or scope creep during the operations. The key six roles include:</w:t>
      </w:r>
    </w:p>
    <w:p w14:paraId="1E0FDF74" w14:textId="77777777" w:rsidR="00BA232D" w:rsidRDefault="00BA232D">
      <w:pPr>
        <w:spacing w:line="276" w:lineRule="auto"/>
      </w:pPr>
    </w:p>
    <w:p w14:paraId="61FC1C5C" w14:textId="77777777" w:rsidR="00BA232D" w:rsidRDefault="00000000" w:rsidP="00FC130A">
      <w:pPr>
        <w:pStyle w:val="ListParagraph"/>
        <w:numPr>
          <w:ilvl w:val="0"/>
          <w:numId w:val="9"/>
        </w:numPr>
        <w:spacing w:line="276" w:lineRule="auto"/>
        <w:jc w:val="lowKashida"/>
      </w:pPr>
      <w:r>
        <w:rPr>
          <w:b/>
          <w:bCs/>
        </w:rPr>
        <w:lastRenderedPageBreak/>
        <w:t>PCAD</w:t>
      </w:r>
      <w:r>
        <w:t>: owner of the method, establishes the minimum standard requirements and assists in the implementation.</w:t>
      </w:r>
    </w:p>
    <w:p w14:paraId="1FD8F09B" w14:textId="77777777" w:rsidR="00BA232D" w:rsidRDefault="00000000" w:rsidP="00FC130A">
      <w:pPr>
        <w:pStyle w:val="ListParagraph"/>
        <w:numPr>
          <w:ilvl w:val="0"/>
          <w:numId w:val="9"/>
        </w:numPr>
        <w:spacing w:line="276" w:lineRule="auto"/>
        <w:jc w:val="lowKashida"/>
      </w:pPr>
      <w:r>
        <w:rPr>
          <w:b/>
          <w:bCs/>
        </w:rPr>
        <w:t>Portfolio companies</w:t>
      </w:r>
      <w:r>
        <w:t>: custodian of the corporate documents, configuration of the system, user access rights and all system outputs.</w:t>
      </w:r>
    </w:p>
    <w:p w14:paraId="60933576" w14:textId="77777777" w:rsidR="00BA232D" w:rsidRDefault="00000000" w:rsidP="00FC130A">
      <w:pPr>
        <w:pStyle w:val="ListParagraph"/>
        <w:numPr>
          <w:ilvl w:val="0"/>
          <w:numId w:val="9"/>
        </w:numPr>
        <w:spacing w:line="276" w:lineRule="auto"/>
        <w:jc w:val="lowKashida"/>
      </w:pPr>
      <w:r>
        <w:rPr>
          <w:b/>
          <w:bCs/>
        </w:rPr>
        <w:t>Digital and Technology team</w:t>
      </w:r>
      <w:r>
        <w:t>: owner of integrating with the companies' infrastructures</w:t>
      </w:r>
    </w:p>
    <w:p w14:paraId="0A76D0D4" w14:textId="77777777" w:rsidR="00BA232D" w:rsidRDefault="00000000" w:rsidP="00FC130A">
      <w:pPr>
        <w:pStyle w:val="ListParagraph"/>
        <w:numPr>
          <w:ilvl w:val="0"/>
          <w:numId w:val="9"/>
        </w:numPr>
        <w:spacing w:line="276" w:lineRule="auto"/>
        <w:jc w:val="lowKashida"/>
      </w:pPr>
      <w:r>
        <w:rPr>
          <w:b/>
          <w:bCs/>
        </w:rPr>
        <w:t>Cyber Security team</w:t>
      </w:r>
      <w:r>
        <w:t>: provides approval on the security measures used by the Portfolio Companies</w:t>
      </w:r>
    </w:p>
    <w:p w14:paraId="0B360A25" w14:textId="77777777" w:rsidR="00BA232D" w:rsidRDefault="00000000" w:rsidP="00FC130A">
      <w:pPr>
        <w:pStyle w:val="ListParagraph"/>
        <w:numPr>
          <w:ilvl w:val="0"/>
          <w:numId w:val="9"/>
        </w:numPr>
        <w:spacing w:line="276" w:lineRule="auto"/>
        <w:jc w:val="lowKashida"/>
      </w:pPr>
      <w:r>
        <w:rPr>
          <w:b/>
          <w:bCs/>
        </w:rPr>
        <w:t>Legal and Compliance team</w:t>
      </w:r>
      <w:r>
        <w:t xml:space="preserve">: outlines the "red lines", disclaimer language, and escalation processes. </w:t>
      </w:r>
    </w:p>
    <w:p w14:paraId="332FD89A" w14:textId="77777777" w:rsidR="00BA232D" w:rsidRDefault="00000000" w:rsidP="00FC130A">
      <w:pPr>
        <w:pStyle w:val="ListParagraph"/>
        <w:numPr>
          <w:ilvl w:val="0"/>
          <w:numId w:val="9"/>
        </w:numPr>
        <w:spacing w:line="276" w:lineRule="auto"/>
        <w:jc w:val="lowKashida"/>
      </w:pPr>
      <w:r>
        <w:rPr>
          <w:b/>
          <w:bCs/>
        </w:rPr>
        <w:t>Board secretaries</w:t>
      </w:r>
      <w:r>
        <w:t xml:space="preserve">: owners of minutes, actions, and recommendations to the Chair. </w:t>
      </w:r>
    </w:p>
    <w:p w14:paraId="4D955766" w14:textId="77777777" w:rsidR="00BA232D" w:rsidRDefault="00000000" w:rsidP="00FC130A">
      <w:pPr>
        <w:spacing w:line="276" w:lineRule="auto"/>
        <w:jc w:val="lowKashida"/>
      </w:pPr>
      <w:r>
        <w:t>The platform is simply a governance tool and not a new governance body.</w:t>
      </w:r>
    </w:p>
    <w:p w14:paraId="7546BA85" w14:textId="77777777" w:rsidR="00BA232D" w:rsidRDefault="00000000" w:rsidP="00FC130A">
      <w:pPr>
        <w:spacing w:line="276" w:lineRule="auto"/>
        <w:jc w:val="lowKashida"/>
      </w:pPr>
      <w:r>
        <w:t>Within this operating model, PCAD should be referred to as the governance guardian and not the platform operator for each company. PCAD should never view or control company Board content unless they are given permission through a previously established authorised governance pathway. With the above, we ensure that PCAD does not cross over from providing shareholder governance support to becoming involved in operational management.</w:t>
      </w:r>
    </w:p>
    <w:p w14:paraId="356E71AF" w14:textId="77777777" w:rsidR="00BA232D" w:rsidRDefault="00000000">
      <w:pPr>
        <w:pStyle w:val="Caption"/>
        <w:spacing w:before="120" w:after="40"/>
      </w:pPr>
      <w:r>
        <w:t>Table 7. Operating model and protected boundaries.</w:t>
      </w:r>
    </w:p>
    <w:tbl>
      <w:tblPr>
        <w:tblStyle w:val="TableGrid"/>
        <w:tblW w:w="9720" w:type="dxa"/>
        <w:jc w:val="center"/>
        <w:tblLayout w:type="fixed"/>
        <w:tblLook w:val="04A0" w:firstRow="1" w:lastRow="0" w:firstColumn="1" w:lastColumn="0" w:noHBand="0" w:noVBand="1"/>
      </w:tblPr>
      <w:tblGrid>
        <w:gridCol w:w="2087"/>
        <w:gridCol w:w="4321"/>
        <w:gridCol w:w="3312"/>
      </w:tblGrid>
      <w:tr w:rsidR="00BA232D" w14:paraId="63467B6B" w14:textId="77777777">
        <w:trPr>
          <w:cantSplit/>
          <w:tblHeader/>
          <w:jc w:val="center"/>
        </w:trPr>
        <w:tc>
          <w:tcPr>
            <w:tcW w:w="2087" w:type="dxa"/>
            <w:shd w:val="clear" w:color="auto" w:fill="1F4E79"/>
          </w:tcPr>
          <w:p w14:paraId="690C19AB" w14:textId="77777777" w:rsidR="00BA232D" w:rsidRDefault="00000000">
            <w:pPr>
              <w:spacing w:after="40" w:line="240" w:lineRule="auto"/>
              <w:rPr>
                <w:rFonts w:cs="Arial"/>
              </w:rPr>
            </w:pPr>
            <w:r>
              <w:rPr>
                <w:rFonts w:cs="Arial"/>
                <w:b/>
                <w:color w:val="FFFFFF"/>
                <w:sz w:val="17"/>
              </w:rPr>
              <w:t>Stakeholder</w:t>
            </w:r>
          </w:p>
        </w:tc>
        <w:tc>
          <w:tcPr>
            <w:tcW w:w="4321" w:type="dxa"/>
            <w:shd w:val="clear" w:color="auto" w:fill="1F4E79"/>
          </w:tcPr>
          <w:p w14:paraId="10419FD2" w14:textId="77777777" w:rsidR="00BA232D" w:rsidRDefault="00000000">
            <w:pPr>
              <w:spacing w:after="40" w:line="240" w:lineRule="auto"/>
              <w:rPr>
                <w:rFonts w:cs="Arial"/>
              </w:rPr>
            </w:pPr>
            <w:r>
              <w:rPr>
                <w:rFonts w:cs="Arial"/>
                <w:b/>
                <w:color w:val="FFFFFF"/>
                <w:sz w:val="17"/>
              </w:rPr>
              <w:t>Role in implementation</w:t>
            </w:r>
          </w:p>
        </w:tc>
        <w:tc>
          <w:tcPr>
            <w:tcW w:w="3312" w:type="dxa"/>
            <w:shd w:val="clear" w:color="auto" w:fill="1F4E79"/>
          </w:tcPr>
          <w:p w14:paraId="409D07F1" w14:textId="77777777" w:rsidR="00BA232D" w:rsidRDefault="00000000">
            <w:pPr>
              <w:spacing w:after="40" w:line="240" w:lineRule="auto"/>
              <w:rPr>
                <w:rFonts w:cs="Arial"/>
              </w:rPr>
            </w:pPr>
            <w:r>
              <w:rPr>
                <w:rFonts w:cs="Arial"/>
                <w:b/>
                <w:color w:val="FFFFFF"/>
                <w:sz w:val="17"/>
              </w:rPr>
              <w:t>Boundary to protect</w:t>
            </w:r>
          </w:p>
        </w:tc>
      </w:tr>
      <w:tr w:rsidR="00BA232D" w14:paraId="016CC107" w14:textId="77777777">
        <w:trPr>
          <w:cantSplit/>
          <w:jc w:val="center"/>
        </w:trPr>
        <w:tc>
          <w:tcPr>
            <w:tcW w:w="2087" w:type="dxa"/>
          </w:tcPr>
          <w:p w14:paraId="21F9B408" w14:textId="77777777" w:rsidR="00BA232D" w:rsidRDefault="00000000">
            <w:pPr>
              <w:spacing w:after="40" w:line="240" w:lineRule="auto"/>
              <w:rPr>
                <w:rFonts w:cs="Arial"/>
              </w:rPr>
            </w:pPr>
            <w:r>
              <w:rPr>
                <w:rFonts w:cs="Arial"/>
                <w:sz w:val="17"/>
              </w:rPr>
              <w:t>PCAD</w:t>
            </w:r>
          </w:p>
        </w:tc>
        <w:tc>
          <w:tcPr>
            <w:tcW w:w="4321" w:type="dxa"/>
          </w:tcPr>
          <w:p w14:paraId="037C4990" w14:textId="77777777" w:rsidR="00BA232D" w:rsidRDefault="00000000">
            <w:pPr>
              <w:spacing w:after="40" w:line="240" w:lineRule="auto"/>
              <w:rPr>
                <w:rFonts w:cs="Arial"/>
              </w:rPr>
            </w:pPr>
            <w:r>
              <w:rPr>
                <w:rFonts w:cs="Arial"/>
                <w:sz w:val="17"/>
              </w:rPr>
              <w:t>Set standards, support pilot, monitor lessons and ensure alignment with portfolio governance priorities.</w:t>
            </w:r>
          </w:p>
        </w:tc>
        <w:tc>
          <w:tcPr>
            <w:tcW w:w="3312" w:type="dxa"/>
          </w:tcPr>
          <w:p w14:paraId="521EC4B2" w14:textId="77777777" w:rsidR="00BA232D" w:rsidRDefault="00000000">
            <w:pPr>
              <w:spacing w:after="40" w:line="240" w:lineRule="auto"/>
              <w:rPr>
                <w:rFonts w:cs="Arial"/>
              </w:rPr>
            </w:pPr>
            <w:r>
              <w:rPr>
                <w:rFonts w:cs="Arial"/>
                <w:sz w:val="17"/>
              </w:rPr>
              <w:t>Does not become the Board secretary of the company.</w:t>
            </w:r>
          </w:p>
        </w:tc>
      </w:tr>
      <w:tr w:rsidR="00BA232D" w14:paraId="74237654" w14:textId="77777777">
        <w:trPr>
          <w:cantSplit/>
          <w:jc w:val="center"/>
        </w:trPr>
        <w:tc>
          <w:tcPr>
            <w:tcW w:w="2087" w:type="dxa"/>
            <w:shd w:val="clear" w:color="auto" w:fill="EAF1F7"/>
          </w:tcPr>
          <w:p w14:paraId="4435CD49" w14:textId="77777777" w:rsidR="00BA232D" w:rsidRDefault="00000000">
            <w:pPr>
              <w:spacing w:after="40" w:line="240" w:lineRule="auto"/>
              <w:rPr>
                <w:rFonts w:cs="Arial"/>
              </w:rPr>
            </w:pPr>
            <w:r>
              <w:rPr>
                <w:rFonts w:cs="Arial"/>
                <w:sz w:val="17"/>
              </w:rPr>
              <w:t>Portfolio company</w:t>
            </w:r>
          </w:p>
        </w:tc>
        <w:tc>
          <w:tcPr>
            <w:tcW w:w="4321" w:type="dxa"/>
            <w:shd w:val="clear" w:color="auto" w:fill="EAF1F7"/>
          </w:tcPr>
          <w:p w14:paraId="5F1135A5" w14:textId="77777777" w:rsidR="00BA232D" w:rsidRDefault="00000000">
            <w:pPr>
              <w:spacing w:after="40" w:line="240" w:lineRule="auto"/>
              <w:rPr>
                <w:rFonts w:cs="Arial"/>
              </w:rPr>
            </w:pPr>
            <w:r>
              <w:rPr>
                <w:rFonts w:cs="Arial"/>
                <w:sz w:val="17"/>
              </w:rPr>
              <w:t>Own local deployment, data, access rights, document quality and final record.</w:t>
            </w:r>
          </w:p>
        </w:tc>
        <w:tc>
          <w:tcPr>
            <w:tcW w:w="3312" w:type="dxa"/>
            <w:shd w:val="clear" w:color="auto" w:fill="EAF1F7"/>
          </w:tcPr>
          <w:p w14:paraId="3243F53A" w14:textId="77777777" w:rsidR="00BA232D" w:rsidRDefault="00000000">
            <w:pPr>
              <w:spacing w:after="40" w:line="240" w:lineRule="auto"/>
              <w:rPr>
                <w:rFonts w:cs="Arial"/>
              </w:rPr>
            </w:pPr>
            <w:r>
              <w:rPr>
                <w:rFonts w:cs="Arial"/>
                <w:sz w:val="17"/>
              </w:rPr>
              <w:t>Does not shift accountability to PIF or the tool.</w:t>
            </w:r>
          </w:p>
        </w:tc>
      </w:tr>
      <w:tr w:rsidR="00BA232D" w14:paraId="6FDED06E" w14:textId="77777777">
        <w:trPr>
          <w:cantSplit/>
          <w:jc w:val="center"/>
        </w:trPr>
        <w:tc>
          <w:tcPr>
            <w:tcW w:w="2087" w:type="dxa"/>
          </w:tcPr>
          <w:p w14:paraId="0F7F6091" w14:textId="77777777" w:rsidR="00BA232D" w:rsidRDefault="00000000">
            <w:pPr>
              <w:spacing w:after="40" w:line="240" w:lineRule="auto"/>
              <w:rPr>
                <w:rFonts w:cs="Arial"/>
              </w:rPr>
            </w:pPr>
            <w:r>
              <w:rPr>
                <w:rFonts w:cs="Arial"/>
                <w:sz w:val="17"/>
              </w:rPr>
              <w:t>Board secretary</w:t>
            </w:r>
          </w:p>
        </w:tc>
        <w:tc>
          <w:tcPr>
            <w:tcW w:w="4321" w:type="dxa"/>
          </w:tcPr>
          <w:p w14:paraId="24A84B75" w14:textId="77777777" w:rsidR="00BA232D" w:rsidRDefault="00000000">
            <w:pPr>
              <w:spacing w:after="40" w:line="240" w:lineRule="auto"/>
              <w:rPr>
                <w:rFonts w:cs="Arial"/>
              </w:rPr>
            </w:pPr>
            <w:r>
              <w:rPr>
                <w:rFonts w:cs="Arial"/>
                <w:sz w:val="17"/>
              </w:rPr>
              <w:t>Primary user, reviewer and sign-off owner for drafts, actions and records.</w:t>
            </w:r>
          </w:p>
        </w:tc>
        <w:tc>
          <w:tcPr>
            <w:tcW w:w="3312" w:type="dxa"/>
          </w:tcPr>
          <w:p w14:paraId="6763847E" w14:textId="77777777" w:rsidR="00BA232D" w:rsidRDefault="00000000">
            <w:pPr>
              <w:spacing w:after="40" w:line="240" w:lineRule="auto"/>
              <w:rPr>
                <w:rFonts w:cs="Arial"/>
              </w:rPr>
            </w:pPr>
            <w:r>
              <w:rPr>
                <w:rFonts w:cs="Arial"/>
                <w:sz w:val="17"/>
              </w:rPr>
              <w:t>Does not allow the platform to become the official voice.</w:t>
            </w:r>
          </w:p>
        </w:tc>
      </w:tr>
      <w:tr w:rsidR="00BA232D" w14:paraId="5F1A547E" w14:textId="77777777">
        <w:trPr>
          <w:cantSplit/>
          <w:jc w:val="center"/>
        </w:trPr>
        <w:tc>
          <w:tcPr>
            <w:tcW w:w="2087" w:type="dxa"/>
            <w:shd w:val="clear" w:color="auto" w:fill="EAF1F7"/>
          </w:tcPr>
          <w:p w14:paraId="51EEF310" w14:textId="77777777" w:rsidR="00BA232D" w:rsidRDefault="00000000">
            <w:pPr>
              <w:spacing w:after="40" w:line="240" w:lineRule="auto"/>
              <w:rPr>
                <w:rFonts w:cs="Arial"/>
              </w:rPr>
            </w:pPr>
            <w:r>
              <w:rPr>
                <w:rFonts w:cs="Arial"/>
                <w:sz w:val="17"/>
              </w:rPr>
              <w:t>Legal and Compliance</w:t>
            </w:r>
          </w:p>
        </w:tc>
        <w:tc>
          <w:tcPr>
            <w:tcW w:w="4321" w:type="dxa"/>
            <w:shd w:val="clear" w:color="auto" w:fill="EAF1F7"/>
          </w:tcPr>
          <w:p w14:paraId="56EF8441" w14:textId="77777777" w:rsidR="00BA232D" w:rsidRDefault="00000000">
            <w:pPr>
              <w:spacing w:after="40" w:line="240" w:lineRule="auto"/>
              <w:rPr>
                <w:rFonts w:cs="Arial"/>
              </w:rPr>
            </w:pPr>
            <w:r>
              <w:rPr>
                <w:rFonts w:cs="Arial"/>
                <w:sz w:val="17"/>
              </w:rPr>
              <w:t>Define legal non-goals, escalation rules and wording around advice and reliance.</w:t>
            </w:r>
          </w:p>
        </w:tc>
        <w:tc>
          <w:tcPr>
            <w:tcW w:w="3312" w:type="dxa"/>
            <w:shd w:val="clear" w:color="auto" w:fill="EAF1F7"/>
          </w:tcPr>
          <w:p w14:paraId="3DB18A7B" w14:textId="77777777" w:rsidR="00BA232D" w:rsidRDefault="00000000">
            <w:pPr>
              <w:spacing w:after="40" w:line="240" w:lineRule="auto"/>
              <w:rPr>
                <w:rFonts w:cs="Arial"/>
              </w:rPr>
            </w:pPr>
            <w:r>
              <w:rPr>
                <w:rFonts w:cs="Arial"/>
                <w:sz w:val="17"/>
              </w:rPr>
              <w:t>Does not turn the pilot into legal automation.</w:t>
            </w:r>
          </w:p>
        </w:tc>
      </w:tr>
      <w:tr w:rsidR="00BA232D" w14:paraId="6CC9D9C2" w14:textId="77777777">
        <w:trPr>
          <w:cantSplit/>
          <w:jc w:val="center"/>
        </w:trPr>
        <w:tc>
          <w:tcPr>
            <w:tcW w:w="2087" w:type="dxa"/>
          </w:tcPr>
          <w:p w14:paraId="10284E60" w14:textId="77777777" w:rsidR="00BA232D" w:rsidRDefault="00000000">
            <w:pPr>
              <w:spacing w:after="40" w:line="240" w:lineRule="auto"/>
              <w:rPr>
                <w:rFonts w:cs="Arial"/>
              </w:rPr>
            </w:pPr>
            <w:r>
              <w:rPr>
                <w:rFonts w:cs="Arial"/>
                <w:sz w:val="17"/>
              </w:rPr>
              <w:t>Digital, data and cybersecurity</w:t>
            </w:r>
          </w:p>
        </w:tc>
        <w:tc>
          <w:tcPr>
            <w:tcW w:w="4321" w:type="dxa"/>
          </w:tcPr>
          <w:p w14:paraId="7553823A" w14:textId="77777777" w:rsidR="00BA232D" w:rsidRDefault="00000000">
            <w:pPr>
              <w:spacing w:after="40" w:line="240" w:lineRule="auto"/>
              <w:rPr>
                <w:rFonts w:cs="Arial"/>
              </w:rPr>
            </w:pPr>
            <w:r>
              <w:rPr>
                <w:rFonts w:cs="Arial"/>
                <w:sz w:val="17"/>
              </w:rPr>
              <w:t>Own architecture, security, hosting, identity management and audit logging.</w:t>
            </w:r>
          </w:p>
        </w:tc>
        <w:tc>
          <w:tcPr>
            <w:tcW w:w="3312" w:type="dxa"/>
          </w:tcPr>
          <w:p w14:paraId="1FB7E49B" w14:textId="77777777" w:rsidR="00BA232D" w:rsidRDefault="00000000">
            <w:pPr>
              <w:spacing w:after="40" w:line="240" w:lineRule="auto"/>
              <w:rPr>
                <w:rFonts w:cs="Arial"/>
              </w:rPr>
            </w:pPr>
            <w:r>
              <w:rPr>
                <w:rFonts w:cs="Arial"/>
                <w:sz w:val="17"/>
              </w:rPr>
              <w:t>Does not compromise confidentiality for convenience.</w:t>
            </w:r>
          </w:p>
        </w:tc>
      </w:tr>
      <w:tr w:rsidR="00BA232D" w14:paraId="393D6CA8" w14:textId="77777777">
        <w:trPr>
          <w:cantSplit/>
          <w:jc w:val="center"/>
        </w:trPr>
        <w:tc>
          <w:tcPr>
            <w:tcW w:w="2087" w:type="dxa"/>
            <w:shd w:val="clear" w:color="auto" w:fill="EAF1F7"/>
          </w:tcPr>
          <w:p w14:paraId="16B3E44F" w14:textId="77777777" w:rsidR="00BA232D" w:rsidRDefault="00000000">
            <w:pPr>
              <w:spacing w:after="40" w:line="240" w:lineRule="auto"/>
              <w:rPr>
                <w:rFonts w:cs="Arial"/>
              </w:rPr>
            </w:pPr>
            <w:r>
              <w:rPr>
                <w:rFonts w:cs="Arial"/>
                <w:sz w:val="17"/>
              </w:rPr>
              <w:t xml:space="preserve">Chair and </w:t>
            </w:r>
            <w:proofErr w:type="gramStart"/>
            <w:r>
              <w:rPr>
                <w:rFonts w:cs="Arial"/>
                <w:sz w:val="17"/>
              </w:rPr>
              <w:t>Board</w:t>
            </w:r>
            <w:proofErr w:type="gramEnd"/>
          </w:p>
        </w:tc>
        <w:tc>
          <w:tcPr>
            <w:tcW w:w="4321" w:type="dxa"/>
            <w:shd w:val="clear" w:color="auto" w:fill="EAF1F7"/>
          </w:tcPr>
          <w:p w14:paraId="0E4A75DB" w14:textId="77777777" w:rsidR="00BA232D" w:rsidRDefault="00000000">
            <w:pPr>
              <w:spacing w:after="40" w:line="240" w:lineRule="auto"/>
              <w:rPr>
                <w:rFonts w:cs="Arial"/>
              </w:rPr>
            </w:pPr>
            <w:r>
              <w:rPr>
                <w:rFonts w:cs="Arial"/>
                <w:sz w:val="17"/>
              </w:rPr>
              <w:t>Support adoption and clarify expectations for use in meetings.</w:t>
            </w:r>
          </w:p>
        </w:tc>
        <w:tc>
          <w:tcPr>
            <w:tcW w:w="3312" w:type="dxa"/>
            <w:shd w:val="clear" w:color="auto" w:fill="EAF1F7"/>
          </w:tcPr>
          <w:p w14:paraId="59980D27" w14:textId="77777777" w:rsidR="00BA232D" w:rsidRDefault="00000000">
            <w:pPr>
              <w:spacing w:after="40" w:line="240" w:lineRule="auto"/>
              <w:rPr>
                <w:rFonts w:cs="Arial"/>
              </w:rPr>
            </w:pPr>
            <w:r>
              <w:rPr>
                <w:rFonts w:cs="Arial"/>
                <w:sz w:val="17"/>
              </w:rPr>
              <w:t>Do not treat an AI answer as a substitute for judgement.</w:t>
            </w:r>
          </w:p>
        </w:tc>
      </w:tr>
    </w:tbl>
    <w:p w14:paraId="047E3A8F" w14:textId="77777777" w:rsidR="00BA232D" w:rsidRDefault="00BA232D"/>
    <w:p w14:paraId="79992509" w14:textId="77777777" w:rsidR="00BA232D" w:rsidRDefault="00BA232D">
      <w:pPr>
        <w:spacing w:after="200" w:line="276" w:lineRule="auto"/>
        <w:rPr>
          <w:rFonts w:cstheme="majorBidi"/>
          <w:b/>
          <w:bCs/>
          <w:color w:val="1F4E79"/>
          <w:sz w:val="32"/>
          <w:szCs w:val="28"/>
        </w:rPr>
      </w:pPr>
    </w:p>
    <w:p w14:paraId="5BB66165" w14:textId="77777777" w:rsidR="00FC130A" w:rsidRDefault="00FC130A">
      <w:pPr>
        <w:spacing w:after="0" w:line="240" w:lineRule="auto"/>
        <w:rPr>
          <w:rFonts w:cstheme="majorBidi"/>
          <w:b/>
          <w:bCs/>
          <w:color w:val="1F4E79"/>
          <w:sz w:val="32"/>
          <w:szCs w:val="28"/>
        </w:rPr>
      </w:pPr>
      <w:bookmarkStart w:id="40" w:name="_Toc234699816"/>
      <w:r>
        <w:br w:type="page"/>
      </w:r>
    </w:p>
    <w:p w14:paraId="032EC71B" w14:textId="3DF42EDB" w:rsidR="00BA232D" w:rsidRDefault="00000000">
      <w:pPr>
        <w:pStyle w:val="Heading1"/>
        <w:spacing w:before="280" w:after="120"/>
      </w:pPr>
      <w:bookmarkStart w:id="41" w:name="_Toc234702418"/>
      <w:r>
        <w:rPr>
          <w:rFonts w:ascii="Arial" w:eastAsia="Arial" w:hAnsi="Arial"/>
        </w:rPr>
        <w:lastRenderedPageBreak/>
        <w:t>7. Measures, Risks, Governance and Ethics</w:t>
      </w:r>
      <w:bookmarkEnd w:id="40"/>
      <w:bookmarkEnd w:id="41"/>
    </w:p>
    <w:p w14:paraId="3498FB99" w14:textId="77777777" w:rsidR="00BA232D" w:rsidRDefault="00000000" w:rsidP="00FC130A">
      <w:pPr>
        <w:spacing w:line="276" w:lineRule="auto"/>
        <w:jc w:val="lowKashida"/>
      </w:pPr>
      <w:r>
        <w:t>This programme will need to be measured by a combination of factors. Simply processing documents is not enough to create better governance. Therefore, the measurements for this programme will need to include but not be limited to: how well the technology has been adopted, the overall quality of the output, the level of risk associated with the results, cycle time, user satisfaction and confidence levels in using the technology, percentage of actions completed based on recommendations from the technology, percentage of users satisfied with the accuracy of the assurances generated, and long term sustainability. This is like what Kirsner (2021) stated about measuring innovation at the beginning stages. Early-stage innovation needs to be measured with stage-specific learning and validation metrics before applying mature financial metrics.</w:t>
      </w:r>
    </w:p>
    <w:p w14:paraId="6BF8FD8A" w14:textId="77777777" w:rsidR="00BA232D" w:rsidRDefault="00000000">
      <w:pPr>
        <w:pStyle w:val="Caption"/>
        <w:spacing w:before="120" w:after="40"/>
      </w:pPr>
      <w:r>
        <w:t>Table 8. Balanced pilot measures.</w:t>
      </w:r>
    </w:p>
    <w:tbl>
      <w:tblPr>
        <w:tblStyle w:val="TableGrid"/>
        <w:tblW w:w="9736" w:type="dxa"/>
        <w:jc w:val="center"/>
        <w:tblLayout w:type="fixed"/>
        <w:tblLook w:val="04A0" w:firstRow="1" w:lastRow="0" w:firstColumn="1" w:lastColumn="0" w:noHBand="0" w:noVBand="1"/>
      </w:tblPr>
      <w:tblGrid>
        <w:gridCol w:w="2943"/>
        <w:gridCol w:w="3851"/>
        <w:gridCol w:w="2942"/>
      </w:tblGrid>
      <w:tr w:rsidR="00BA232D" w14:paraId="7F6F0B2C" w14:textId="77777777">
        <w:trPr>
          <w:cantSplit/>
          <w:tblHeader/>
          <w:jc w:val="center"/>
        </w:trPr>
        <w:tc>
          <w:tcPr>
            <w:tcW w:w="2943" w:type="dxa"/>
            <w:shd w:val="clear" w:color="auto" w:fill="1F4E79"/>
          </w:tcPr>
          <w:p w14:paraId="4A23899F" w14:textId="77777777" w:rsidR="00BA232D" w:rsidRDefault="00000000">
            <w:pPr>
              <w:spacing w:after="40" w:line="240" w:lineRule="auto"/>
              <w:rPr>
                <w:rFonts w:cs="Arial"/>
              </w:rPr>
            </w:pPr>
            <w:r>
              <w:rPr>
                <w:rFonts w:cs="Arial"/>
                <w:b/>
                <w:color w:val="FFFFFF"/>
                <w:sz w:val="17"/>
              </w:rPr>
              <w:t>Measure category</w:t>
            </w:r>
          </w:p>
        </w:tc>
        <w:tc>
          <w:tcPr>
            <w:tcW w:w="3851" w:type="dxa"/>
            <w:shd w:val="clear" w:color="auto" w:fill="1F4E79"/>
          </w:tcPr>
          <w:p w14:paraId="50638794" w14:textId="77777777" w:rsidR="00BA232D" w:rsidRDefault="00000000">
            <w:pPr>
              <w:spacing w:after="40" w:line="240" w:lineRule="auto"/>
              <w:rPr>
                <w:rFonts w:cs="Arial"/>
              </w:rPr>
            </w:pPr>
            <w:r>
              <w:rPr>
                <w:rFonts w:cs="Arial"/>
                <w:b/>
                <w:color w:val="FFFFFF"/>
                <w:sz w:val="17"/>
              </w:rPr>
              <w:t>Example measures</w:t>
            </w:r>
          </w:p>
        </w:tc>
        <w:tc>
          <w:tcPr>
            <w:tcW w:w="2942" w:type="dxa"/>
            <w:shd w:val="clear" w:color="auto" w:fill="1F4E79"/>
          </w:tcPr>
          <w:p w14:paraId="15552B69" w14:textId="77777777" w:rsidR="00BA232D" w:rsidRDefault="00000000">
            <w:pPr>
              <w:spacing w:after="40" w:line="240" w:lineRule="auto"/>
              <w:rPr>
                <w:rFonts w:cs="Arial"/>
              </w:rPr>
            </w:pPr>
            <w:r>
              <w:rPr>
                <w:rFonts w:cs="Arial"/>
                <w:b/>
                <w:color w:val="FFFFFF"/>
                <w:sz w:val="17"/>
              </w:rPr>
              <w:t>Why it matters</w:t>
            </w:r>
          </w:p>
        </w:tc>
      </w:tr>
      <w:tr w:rsidR="00BA232D" w14:paraId="335A8489" w14:textId="77777777">
        <w:trPr>
          <w:cantSplit/>
          <w:jc w:val="center"/>
        </w:trPr>
        <w:tc>
          <w:tcPr>
            <w:tcW w:w="2943" w:type="dxa"/>
          </w:tcPr>
          <w:p w14:paraId="620C8161" w14:textId="77777777" w:rsidR="00BA232D" w:rsidRDefault="00000000">
            <w:pPr>
              <w:spacing w:after="40" w:line="240" w:lineRule="auto"/>
              <w:rPr>
                <w:rFonts w:cs="Arial"/>
              </w:rPr>
            </w:pPr>
            <w:r>
              <w:rPr>
                <w:rFonts w:cs="Arial"/>
                <w:sz w:val="17"/>
              </w:rPr>
              <w:t>Efficiency</w:t>
            </w:r>
          </w:p>
        </w:tc>
        <w:tc>
          <w:tcPr>
            <w:tcW w:w="3851" w:type="dxa"/>
          </w:tcPr>
          <w:p w14:paraId="14CC63BF" w14:textId="77777777" w:rsidR="00BA232D" w:rsidRDefault="00000000">
            <w:pPr>
              <w:spacing w:after="40" w:line="240" w:lineRule="auto"/>
              <w:rPr>
                <w:rFonts w:cs="Arial"/>
              </w:rPr>
            </w:pPr>
            <w:r>
              <w:rPr>
                <w:rFonts w:cs="Arial"/>
                <w:sz w:val="17"/>
              </w:rPr>
              <w:t>Days from meeting to first draft minutes; rework cycles; time to prepare agenda; time to locate prior decision.</w:t>
            </w:r>
          </w:p>
        </w:tc>
        <w:tc>
          <w:tcPr>
            <w:tcW w:w="2942" w:type="dxa"/>
          </w:tcPr>
          <w:p w14:paraId="001B5362" w14:textId="77777777" w:rsidR="00BA232D" w:rsidRDefault="00000000">
            <w:pPr>
              <w:spacing w:after="40" w:line="240" w:lineRule="auto"/>
              <w:rPr>
                <w:rFonts w:cs="Arial"/>
              </w:rPr>
            </w:pPr>
            <w:r>
              <w:rPr>
                <w:rFonts w:cs="Arial"/>
                <w:sz w:val="17"/>
              </w:rPr>
              <w:t>Shows whether the platform reduces effort without hiding quality risk.</w:t>
            </w:r>
          </w:p>
        </w:tc>
      </w:tr>
      <w:tr w:rsidR="00BA232D" w14:paraId="719E3EBA" w14:textId="77777777">
        <w:trPr>
          <w:cantSplit/>
          <w:jc w:val="center"/>
        </w:trPr>
        <w:tc>
          <w:tcPr>
            <w:tcW w:w="2943" w:type="dxa"/>
            <w:shd w:val="clear" w:color="auto" w:fill="EAF1F7"/>
          </w:tcPr>
          <w:p w14:paraId="329B3C83" w14:textId="77777777" w:rsidR="00BA232D" w:rsidRDefault="00000000">
            <w:pPr>
              <w:spacing w:after="40" w:line="240" w:lineRule="auto"/>
              <w:rPr>
                <w:rFonts w:cs="Arial"/>
              </w:rPr>
            </w:pPr>
            <w:r>
              <w:rPr>
                <w:rFonts w:cs="Arial"/>
                <w:sz w:val="17"/>
              </w:rPr>
              <w:t>Quality</w:t>
            </w:r>
          </w:p>
        </w:tc>
        <w:tc>
          <w:tcPr>
            <w:tcW w:w="3851" w:type="dxa"/>
            <w:shd w:val="clear" w:color="auto" w:fill="EAF1F7"/>
          </w:tcPr>
          <w:p w14:paraId="086D2D0F" w14:textId="77777777" w:rsidR="00BA232D" w:rsidRDefault="00000000">
            <w:pPr>
              <w:spacing w:after="40" w:line="240" w:lineRule="auto"/>
              <w:rPr>
                <w:rFonts w:cs="Arial"/>
              </w:rPr>
            </w:pPr>
            <w:r>
              <w:rPr>
                <w:rFonts w:cs="Arial"/>
                <w:sz w:val="17"/>
              </w:rPr>
              <w:t xml:space="preserve">First-time-right minutes rate; number of missing charter items; citation accuracy; </w:t>
            </w:r>
            <w:proofErr w:type="spellStart"/>
            <w:r>
              <w:rPr>
                <w:rFonts w:cs="Arial"/>
                <w:sz w:val="17"/>
              </w:rPr>
              <w:t>DoA</w:t>
            </w:r>
            <w:proofErr w:type="spellEnd"/>
            <w:r>
              <w:rPr>
                <w:rFonts w:cs="Arial"/>
                <w:sz w:val="17"/>
              </w:rPr>
              <w:t xml:space="preserve"> lookup accuracy.</w:t>
            </w:r>
          </w:p>
        </w:tc>
        <w:tc>
          <w:tcPr>
            <w:tcW w:w="2942" w:type="dxa"/>
            <w:shd w:val="clear" w:color="auto" w:fill="EAF1F7"/>
          </w:tcPr>
          <w:p w14:paraId="5F664627" w14:textId="77777777" w:rsidR="00BA232D" w:rsidRDefault="00000000">
            <w:pPr>
              <w:spacing w:after="40" w:line="240" w:lineRule="auto"/>
              <w:rPr>
                <w:rFonts w:cs="Arial"/>
              </w:rPr>
            </w:pPr>
            <w:r>
              <w:rPr>
                <w:rFonts w:cs="Arial"/>
                <w:sz w:val="17"/>
              </w:rPr>
              <w:t>Shows whether governance output improves.</w:t>
            </w:r>
          </w:p>
        </w:tc>
      </w:tr>
      <w:tr w:rsidR="00BA232D" w14:paraId="50262B9E" w14:textId="77777777">
        <w:trPr>
          <w:cantSplit/>
          <w:jc w:val="center"/>
        </w:trPr>
        <w:tc>
          <w:tcPr>
            <w:tcW w:w="2943" w:type="dxa"/>
          </w:tcPr>
          <w:p w14:paraId="5ED94960" w14:textId="77777777" w:rsidR="00BA232D" w:rsidRDefault="00000000">
            <w:pPr>
              <w:spacing w:after="40" w:line="240" w:lineRule="auto"/>
              <w:rPr>
                <w:rFonts w:cs="Arial"/>
              </w:rPr>
            </w:pPr>
            <w:r>
              <w:rPr>
                <w:rFonts w:cs="Arial"/>
                <w:sz w:val="17"/>
              </w:rPr>
              <w:t>Adoption and trust</w:t>
            </w:r>
          </w:p>
        </w:tc>
        <w:tc>
          <w:tcPr>
            <w:tcW w:w="3851" w:type="dxa"/>
          </w:tcPr>
          <w:p w14:paraId="50E0BF9E" w14:textId="77777777" w:rsidR="00BA232D" w:rsidRDefault="00000000">
            <w:pPr>
              <w:spacing w:after="40" w:line="240" w:lineRule="auto"/>
              <w:rPr>
                <w:rFonts w:cs="Arial"/>
              </w:rPr>
            </w:pPr>
            <w:r>
              <w:rPr>
                <w:rFonts w:cs="Arial"/>
                <w:sz w:val="17"/>
              </w:rPr>
              <w:t>Secretary usage, chair feedback, accepted drafts, rejected suggestions, user confidence before and after pilot.</w:t>
            </w:r>
          </w:p>
        </w:tc>
        <w:tc>
          <w:tcPr>
            <w:tcW w:w="2942" w:type="dxa"/>
          </w:tcPr>
          <w:p w14:paraId="5923DEC6" w14:textId="77777777" w:rsidR="00BA232D" w:rsidRDefault="00000000">
            <w:pPr>
              <w:spacing w:after="40" w:line="240" w:lineRule="auto"/>
              <w:rPr>
                <w:rFonts w:cs="Arial"/>
              </w:rPr>
            </w:pPr>
            <w:r>
              <w:rPr>
                <w:rFonts w:cs="Arial"/>
                <w:sz w:val="17"/>
              </w:rPr>
              <w:t>Shows whether people trust the tool enough to use it.</w:t>
            </w:r>
          </w:p>
        </w:tc>
      </w:tr>
      <w:tr w:rsidR="00BA232D" w14:paraId="30F89ECB" w14:textId="77777777">
        <w:trPr>
          <w:cantSplit/>
          <w:jc w:val="center"/>
        </w:trPr>
        <w:tc>
          <w:tcPr>
            <w:tcW w:w="2943" w:type="dxa"/>
            <w:shd w:val="clear" w:color="auto" w:fill="EAF1F7"/>
          </w:tcPr>
          <w:p w14:paraId="6364367F" w14:textId="77777777" w:rsidR="00BA232D" w:rsidRDefault="00000000">
            <w:pPr>
              <w:spacing w:after="40" w:line="240" w:lineRule="auto"/>
              <w:rPr>
                <w:rFonts w:cs="Arial"/>
              </w:rPr>
            </w:pPr>
            <w:r>
              <w:rPr>
                <w:rFonts w:cs="Arial"/>
                <w:sz w:val="17"/>
              </w:rPr>
              <w:t>Governance outcomes</w:t>
            </w:r>
          </w:p>
        </w:tc>
        <w:tc>
          <w:tcPr>
            <w:tcW w:w="3851" w:type="dxa"/>
            <w:shd w:val="clear" w:color="auto" w:fill="EAF1F7"/>
          </w:tcPr>
          <w:p w14:paraId="168B87C5" w14:textId="77777777" w:rsidR="00BA232D" w:rsidRDefault="00000000">
            <w:pPr>
              <w:spacing w:after="40" w:line="240" w:lineRule="auto"/>
              <w:rPr>
                <w:rFonts w:cs="Arial"/>
              </w:rPr>
            </w:pPr>
            <w:r>
              <w:rPr>
                <w:rFonts w:cs="Arial"/>
                <w:sz w:val="17"/>
              </w:rPr>
              <w:t>Overdue actions, repeated escalations, decision carry-forward, handover completeness and audit trail completeness.</w:t>
            </w:r>
          </w:p>
        </w:tc>
        <w:tc>
          <w:tcPr>
            <w:tcW w:w="2942" w:type="dxa"/>
            <w:shd w:val="clear" w:color="auto" w:fill="EAF1F7"/>
          </w:tcPr>
          <w:p w14:paraId="01E45E0C" w14:textId="77777777" w:rsidR="00BA232D" w:rsidRDefault="00000000">
            <w:pPr>
              <w:spacing w:after="40" w:line="240" w:lineRule="auto"/>
              <w:rPr>
                <w:rFonts w:cs="Arial"/>
              </w:rPr>
            </w:pPr>
            <w:r>
              <w:rPr>
                <w:rFonts w:cs="Arial"/>
                <w:sz w:val="17"/>
              </w:rPr>
              <w:t>Shows whether corporate memory and follow-through improve.</w:t>
            </w:r>
          </w:p>
        </w:tc>
      </w:tr>
      <w:tr w:rsidR="00BA232D" w14:paraId="2B2EB429" w14:textId="77777777">
        <w:trPr>
          <w:cantSplit/>
          <w:jc w:val="center"/>
        </w:trPr>
        <w:tc>
          <w:tcPr>
            <w:tcW w:w="2943" w:type="dxa"/>
          </w:tcPr>
          <w:p w14:paraId="4CF0A093" w14:textId="77777777" w:rsidR="00BA232D" w:rsidRDefault="00000000">
            <w:pPr>
              <w:spacing w:after="40" w:line="240" w:lineRule="auto"/>
              <w:rPr>
                <w:rFonts w:cs="Arial"/>
              </w:rPr>
            </w:pPr>
            <w:r>
              <w:rPr>
                <w:rFonts w:cs="Arial"/>
                <w:sz w:val="17"/>
              </w:rPr>
              <w:t>Risk and ethics</w:t>
            </w:r>
          </w:p>
        </w:tc>
        <w:tc>
          <w:tcPr>
            <w:tcW w:w="3851" w:type="dxa"/>
          </w:tcPr>
          <w:p w14:paraId="464CF52E" w14:textId="77777777" w:rsidR="00BA232D" w:rsidRDefault="00000000">
            <w:pPr>
              <w:spacing w:after="40" w:line="240" w:lineRule="auto"/>
              <w:rPr>
                <w:rFonts w:cs="Arial"/>
              </w:rPr>
            </w:pPr>
            <w:r>
              <w:rPr>
                <w:rFonts w:cs="Arial"/>
                <w:sz w:val="17"/>
              </w:rPr>
              <w:t>Hallucination incidents, unknown-response rate, access violations, data leakage, legal escalations and over-reliance cases.</w:t>
            </w:r>
          </w:p>
        </w:tc>
        <w:tc>
          <w:tcPr>
            <w:tcW w:w="2942" w:type="dxa"/>
          </w:tcPr>
          <w:p w14:paraId="1166AE05" w14:textId="77777777" w:rsidR="00BA232D" w:rsidRDefault="00000000">
            <w:pPr>
              <w:spacing w:after="40" w:line="240" w:lineRule="auto"/>
              <w:rPr>
                <w:rFonts w:cs="Arial"/>
              </w:rPr>
            </w:pPr>
            <w:r>
              <w:rPr>
                <w:rFonts w:cs="Arial"/>
                <w:sz w:val="17"/>
              </w:rPr>
              <w:t>Shows whether controls are functioning.</w:t>
            </w:r>
          </w:p>
        </w:tc>
      </w:tr>
      <w:tr w:rsidR="00BA232D" w14:paraId="3F83AE82" w14:textId="77777777">
        <w:trPr>
          <w:cantSplit/>
          <w:jc w:val="center"/>
        </w:trPr>
        <w:tc>
          <w:tcPr>
            <w:tcW w:w="2943" w:type="dxa"/>
            <w:shd w:val="clear" w:color="auto" w:fill="EAF1F7"/>
          </w:tcPr>
          <w:p w14:paraId="39C2412B" w14:textId="77777777" w:rsidR="00BA232D" w:rsidRDefault="00000000">
            <w:pPr>
              <w:spacing w:after="40" w:line="240" w:lineRule="auto"/>
              <w:rPr>
                <w:rFonts w:cs="Arial"/>
              </w:rPr>
            </w:pPr>
            <w:r>
              <w:rPr>
                <w:rFonts w:cs="Arial"/>
                <w:sz w:val="17"/>
              </w:rPr>
              <w:t>Sustainability and cost</w:t>
            </w:r>
          </w:p>
        </w:tc>
        <w:tc>
          <w:tcPr>
            <w:tcW w:w="3851" w:type="dxa"/>
            <w:shd w:val="clear" w:color="auto" w:fill="EAF1F7"/>
          </w:tcPr>
          <w:p w14:paraId="6C4AD1E8" w14:textId="77777777" w:rsidR="00BA232D" w:rsidRDefault="00000000">
            <w:pPr>
              <w:spacing w:after="40" w:line="240" w:lineRule="auto"/>
              <w:rPr>
                <w:rFonts w:cs="Arial"/>
              </w:rPr>
            </w:pPr>
            <w:r>
              <w:rPr>
                <w:rFonts w:cs="Arial"/>
                <w:sz w:val="17"/>
              </w:rPr>
              <w:t>Compute cost, model size, local hardware utilisation, storage growth and paper reduction.</w:t>
            </w:r>
          </w:p>
        </w:tc>
        <w:tc>
          <w:tcPr>
            <w:tcW w:w="2942" w:type="dxa"/>
            <w:shd w:val="clear" w:color="auto" w:fill="EAF1F7"/>
          </w:tcPr>
          <w:p w14:paraId="0D638F78" w14:textId="77777777" w:rsidR="00BA232D" w:rsidRDefault="00000000">
            <w:pPr>
              <w:spacing w:after="40" w:line="240" w:lineRule="auto"/>
              <w:rPr>
                <w:rFonts w:cs="Arial"/>
              </w:rPr>
            </w:pPr>
            <w:r>
              <w:rPr>
                <w:rFonts w:cs="Arial"/>
                <w:sz w:val="17"/>
              </w:rPr>
              <w:t>Shows whether the solution is responsible and scalable.</w:t>
            </w:r>
          </w:p>
        </w:tc>
      </w:tr>
      <w:tr w:rsidR="00BA232D" w14:paraId="388C84A6" w14:textId="77777777">
        <w:trPr>
          <w:cantSplit/>
          <w:jc w:val="center"/>
        </w:trPr>
        <w:tc>
          <w:tcPr>
            <w:tcW w:w="2943" w:type="dxa"/>
          </w:tcPr>
          <w:p w14:paraId="39CA88BE" w14:textId="77777777" w:rsidR="00BA232D" w:rsidRDefault="00000000">
            <w:pPr>
              <w:spacing w:after="40" w:line="240" w:lineRule="auto"/>
              <w:rPr>
                <w:rFonts w:cs="Arial"/>
              </w:rPr>
            </w:pPr>
            <w:r>
              <w:rPr>
                <w:rFonts w:cs="Arial"/>
                <w:sz w:val="17"/>
              </w:rPr>
              <w:t>Chairperson meeting-control experience</w:t>
            </w:r>
          </w:p>
        </w:tc>
        <w:tc>
          <w:tcPr>
            <w:tcW w:w="3851" w:type="dxa"/>
          </w:tcPr>
          <w:p w14:paraId="29ECC0DC" w14:textId="77777777" w:rsidR="00BA232D" w:rsidRDefault="00000000">
            <w:pPr>
              <w:spacing w:after="40" w:line="240" w:lineRule="auto"/>
              <w:rPr>
                <w:rFonts w:cs="Arial"/>
              </w:rPr>
            </w:pPr>
            <w:r>
              <w:rPr>
                <w:rFonts w:cs="Arial"/>
                <w:sz w:val="17"/>
              </w:rPr>
              <w:t>Chairperson confidence score after each pilot meeting; completeness of agenda; number of in-meeting authority or procedure issues resolved with cited support.</w:t>
            </w:r>
          </w:p>
        </w:tc>
        <w:tc>
          <w:tcPr>
            <w:tcW w:w="2942" w:type="dxa"/>
          </w:tcPr>
          <w:p w14:paraId="7AAF779C" w14:textId="77777777" w:rsidR="00BA232D" w:rsidRDefault="00000000">
            <w:pPr>
              <w:spacing w:after="40" w:line="240" w:lineRule="auto"/>
              <w:rPr>
                <w:rFonts w:cs="Arial"/>
              </w:rPr>
            </w:pPr>
            <w:r>
              <w:rPr>
                <w:rFonts w:cs="Arial"/>
                <w:sz w:val="17"/>
              </w:rPr>
              <w:t>Shows whether the platform improves the Chairperson experience rather than only making the secretary faster.</w:t>
            </w:r>
          </w:p>
        </w:tc>
      </w:tr>
      <w:tr w:rsidR="00BA232D" w14:paraId="465E4B64" w14:textId="77777777">
        <w:trPr>
          <w:cantSplit/>
          <w:jc w:val="center"/>
        </w:trPr>
        <w:tc>
          <w:tcPr>
            <w:tcW w:w="2943" w:type="dxa"/>
          </w:tcPr>
          <w:p w14:paraId="01C99A38" w14:textId="77777777" w:rsidR="00BA232D" w:rsidRDefault="00000000">
            <w:pPr>
              <w:spacing w:after="40" w:line="240" w:lineRule="auto"/>
              <w:rPr>
                <w:rFonts w:cs="Arial"/>
              </w:rPr>
            </w:pPr>
            <w:r>
              <w:rPr>
                <w:rFonts w:cs="Arial"/>
                <w:sz w:val="17"/>
              </w:rPr>
              <w:t>CEO and management service quality</w:t>
            </w:r>
          </w:p>
        </w:tc>
        <w:tc>
          <w:tcPr>
            <w:tcW w:w="3851" w:type="dxa"/>
          </w:tcPr>
          <w:p w14:paraId="2E2DF584" w14:textId="77777777" w:rsidR="00BA232D" w:rsidRDefault="00000000">
            <w:pPr>
              <w:spacing w:after="40" w:line="240" w:lineRule="auto"/>
              <w:rPr>
                <w:rFonts w:cs="Arial"/>
              </w:rPr>
            </w:pPr>
            <w:r>
              <w:rPr>
                <w:rFonts w:cs="Arial"/>
                <w:sz w:val="17"/>
              </w:rPr>
              <w:t xml:space="preserve">Management paper rework before Board submission; repeat clarification requests after meetings; action clarity score after minutes </w:t>
            </w:r>
            <w:proofErr w:type="gramStart"/>
            <w:r>
              <w:rPr>
                <w:rFonts w:cs="Arial"/>
                <w:sz w:val="17"/>
              </w:rPr>
              <w:t>are</w:t>
            </w:r>
            <w:proofErr w:type="gramEnd"/>
            <w:r>
              <w:rPr>
                <w:rFonts w:cs="Arial"/>
                <w:sz w:val="17"/>
              </w:rPr>
              <w:t xml:space="preserve"> issued.</w:t>
            </w:r>
          </w:p>
        </w:tc>
        <w:tc>
          <w:tcPr>
            <w:tcW w:w="2942" w:type="dxa"/>
          </w:tcPr>
          <w:p w14:paraId="34309203" w14:textId="77777777" w:rsidR="00BA232D" w:rsidRDefault="00000000">
            <w:pPr>
              <w:spacing w:after="40" w:line="240" w:lineRule="auto"/>
              <w:rPr>
                <w:rFonts w:cs="Arial"/>
              </w:rPr>
            </w:pPr>
            <w:r>
              <w:rPr>
                <w:rFonts w:cs="Arial"/>
                <w:sz w:val="17"/>
              </w:rPr>
              <w:t>Shows whether management receives clearer guidance before the meeting and more executable decisions after the meeting.</w:t>
            </w:r>
          </w:p>
        </w:tc>
      </w:tr>
      <w:tr w:rsidR="00BA232D" w14:paraId="30517A2E" w14:textId="77777777">
        <w:trPr>
          <w:cantSplit/>
          <w:jc w:val="center"/>
        </w:trPr>
        <w:tc>
          <w:tcPr>
            <w:tcW w:w="2943" w:type="dxa"/>
          </w:tcPr>
          <w:p w14:paraId="2A7F0E0D" w14:textId="77777777" w:rsidR="00BA232D" w:rsidRDefault="00000000">
            <w:pPr>
              <w:spacing w:after="40" w:line="240" w:lineRule="auto"/>
              <w:rPr>
                <w:rFonts w:cs="Arial"/>
              </w:rPr>
            </w:pPr>
            <w:r>
              <w:rPr>
                <w:rFonts w:cs="Arial"/>
                <w:sz w:val="17"/>
              </w:rPr>
              <w:t>PCAD portfolio governance assurance</w:t>
            </w:r>
          </w:p>
        </w:tc>
        <w:tc>
          <w:tcPr>
            <w:tcW w:w="3851" w:type="dxa"/>
          </w:tcPr>
          <w:p w14:paraId="674AD094" w14:textId="77777777" w:rsidR="00BA232D" w:rsidRDefault="00000000">
            <w:pPr>
              <w:spacing w:after="40" w:line="240" w:lineRule="auto"/>
              <w:rPr>
                <w:rFonts w:cs="Arial"/>
              </w:rPr>
            </w:pPr>
            <w:r>
              <w:rPr>
                <w:rFonts w:cs="Arial"/>
                <w:sz w:val="17"/>
              </w:rPr>
              <w:t xml:space="preserve">Recurring </w:t>
            </w:r>
            <w:proofErr w:type="spellStart"/>
            <w:r>
              <w:rPr>
                <w:rFonts w:cs="Arial"/>
                <w:sz w:val="17"/>
              </w:rPr>
              <w:t>DoA</w:t>
            </w:r>
            <w:proofErr w:type="spellEnd"/>
            <w:r>
              <w:rPr>
                <w:rFonts w:cs="Arial"/>
                <w:sz w:val="17"/>
              </w:rPr>
              <w:t xml:space="preserve"> ambiguities, missing charter items, overdue action patterns, policy contradictions, training needs and manual update themes identified across the pilot.</w:t>
            </w:r>
          </w:p>
        </w:tc>
        <w:tc>
          <w:tcPr>
            <w:tcW w:w="2942" w:type="dxa"/>
          </w:tcPr>
          <w:p w14:paraId="3C309F06" w14:textId="77777777" w:rsidR="00BA232D" w:rsidRDefault="00000000">
            <w:pPr>
              <w:spacing w:after="40" w:line="240" w:lineRule="auto"/>
              <w:rPr>
                <w:rFonts w:cs="Arial"/>
              </w:rPr>
            </w:pPr>
            <w:r>
              <w:rPr>
                <w:rFonts w:cs="Arial"/>
                <w:sz w:val="17"/>
              </w:rPr>
              <w:t>Shows whether PCAD can use the platform to strengthen portfolio governance standards without becoming a central secretariat or operational decision-maker.</w:t>
            </w:r>
          </w:p>
        </w:tc>
      </w:tr>
    </w:tbl>
    <w:p w14:paraId="40C8F7C0" w14:textId="77777777" w:rsidR="00BA232D" w:rsidRDefault="00BA232D"/>
    <w:p w14:paraId="78D54DB3" w14:textId="77777777" w:rsidR="00BA232D" w:rsidRDefault="00000000" w:rsidP="00FC130A">
      <w:pPr>
        <w:spacing w:line="276" w:lineRule="auto"/>
        <w:jc w:val="lowKashida"/>
      </w:pPr>
      <w:r>
        <w:t>The greatest risk is providing a false sense of confidence. In most cases an AI hallucination could simply waste time. However, in a governance situation where decisions made could have serious consequences including authority issues, conflict of interest concerns, liability issues related to lawfulness or errors in recording Board actions then incorrect answers would pose significant risks. Because of this type of high stakes environment then the design requirements for the technology would need to include a preference to remain silent instead of creating new information. Each answer must reference a source clause. If the referenced source cannot be located, then the answer must indicate such and provide directions to a relevant human resource who could assist in finding the needed documentation. This is not just a matter of user experience and convenience but rather it is a critical issue regarding professionalism and ethics.</w:t>
      </w:r>
    </w:p>
    <w:p w14:paraId="2A12BAC6" w14:textId="77777777" w:rsidR="00BA232D" w:rsidRDefault="00BA232D">
      <w:pPr>
        <w:spacing w:after="200" w:line="276" w:lineRule="auto"/>
        <w:rPr>
          <w:bCs/>
          <w:i/>
          <w:color w:val="4F81BD" w:themeColor="accent1"/>
          <w:sz w:val="18"/>
          <w:szCs w:val="18"/>
        </w:rPr>
      </w:pPr>
    </w:p>
    <w:p w14:paraId="2B940364" w14:textId="77777777" w:rsidR="00BA232D" w:rsidRDefault="00000000">
      <w:pPr>
        <w:pStyle w:val="Caption"/>
        <w:spacing w:before="120" w:after="40"/>
      </w:pPr>
      <w:r>
        <w:t>Table 9. Principal risks and mitigations.</w:t>
      </w:r>
    </w:p>
    <w:tbl>
      <w:tblPr>
        <w:tblStyle w:val="TableGrid"/>
        <w:tblW w:w="9736" w:type="dxa"/>
        <w:jc w:val="center"/>
        <w:tblLayout w:type="fixed"/>
        <w:tblLook w:val="04A0" w:firstRow="1" w:lastRow="0" w:firstColumn="1" w:lastColumn="0" w:noHBand="0" w:noVBand="1"/>
      </w:tblPr>
      <w:tblGrid>
        <w:gridCol w:w="1977"/>
        <w:gridCol w:w="3333"/>
        <w:gridCol w:w="4426"/>
      </w:tblGrid>
      <w:tr w:rsidR="00BA232D" w14:paraId="1207252B" w14:textId="77777777">
        <w:trPr>
          <w:cantSplit/>
          <w:tblHeader/>
          <w:jc w:val="center"/>
        </w:trPr>
        <w:tc>
          <w:tcPr>
            <w:tcW w:w="1977" w:type="dxa"/>
            <w:shd w:val="clear" w:color="auto" w:fill="1F4E79"/>
          </w:tcPr>
          <w:p w14:paraId="6852D56A" w14:textId="77777777" w:rsidR="00BA232D" w:rsidRDefault="00000000">
            <w:pPr>
              <w:spacing w:after="40" w:line="240" w:lineRule="auto"/>
              <w:rPr>
                <w:rFonts w:cs="Arial"/>
              </w:rPr>
            </w:pPr>
            <w:r>
              <w:rPr>
                <w:rFonts w:cs="Arial"/>
                <w:b/>
                <w:color w:val="FFFFFF"/>
                <w:sz w:val="17"/>
              </w:rPr>
              <w:lastRenderedPageBreak/>
              <w:t>Risk</w:t>
            </w:r>
          </w:p>
        </w:tc>
        <w:tc>
          <w:tcPr>
            <w:tcW w:w="3333" w:type="dxa"/>
            <w:shd w:val="clear" w:color="auto" w:fill="1F4E79"/>
          </w:tcPr>
          <w:p w14:paraId="4CD2254A" w14:textId="77777777" w:rsidR="00BA232D" w:rsidRDefault="00000000">
            <w:pPr>
              <w:spacing w:after="40" w:line="240" w:lineRule="auto"/>
              <w:rPr>
                <w:rFonts w:cs="Arial"/>
              </w:rPr>
            </w:pPr>
            <w:r>
              <w:rPr>
                <w:rFonts w:cs="Arial"/>
                <w:b/>
                <w:color w:val="FFFFFF"/>
                <w:sz w:val="17"/>
              </w:rPr>
              <w:t>Impact if unmanaged</w:t>
            </w:r>
          </w:p>
        </w:tc>
        <w:tc>
          <w:tcPr>
            <w:tcW w:w="4426" w:type="dxa"/>
            <w:shd w:val="clear" w:color="auto" w:fill="1F4E79"/>
          </w:tcPr>
          <w:p w14:paraId="34ED634C" w14:textId="77777777" w:rsidR="00BA232D" w:rsidRDefault="00000000">
            <w:pPr>
              <w:spacing w:after="40" w:line="240" w:lineRule="auto"/>
              <w:rPr>
                <w:rFonts w:cs="Arial"/>
              </w:rPr>
            </w:pPr>
            <w:r>
              <w:rPr>
                <w:rFonts w:cs="Arial"/>
                <w:b/>
                <w:color w:val="FFFFFF"/>
                <w:sz w:val="17"/>
              </w:rPr>
              <w:t>Mitigation</w:t>
            </w:r>
          </w:p>
        </w:tc>
      </w:tr>
      <w:tr w:rsidR="00BA232D" w14:paraId="0604C650" w14:textId="77777777">
        <w:trPr>
          <w:cantSplit/>
          <w:jc w:val="center"/>
        </w:trPr>
        <w:tc>
          <w:tcPr>
            <w:tcW w:w="1977" w:type="dxa"/>
          </w:tcPr>
          <w:p w14:paraId="37298BD5" w14:textId="77777777" w:rsidR="00BA232D" w:rsidRDefault="00000000">
            <w:pPr>
              <w:spacing w:after="40" w:line="240" w:lineRule="auto"/>
              <w:rPr>
                <w:rFonts w:cs="Arial"/>
              </w:rPr>
            </w:pPr>
            <w:r>
              <w:rPr>
                <w:rFonts w:cs="Arial"/>
                <w:sz w:val="17"/>
              </w:rPr>
              <w:t>Hallucination or wrong authority answer</w:t>
            </w:r>
          </w:p>
        </w:tc>
        <w:tc>
          <w:tcPr>
            <w:tcW w:w="3333" w:type="dxa"/>
          </w:tcPr>
          <w:p w14:paraId="4FE64079" w14:textId="77777777" w:rsidR="00BA232D" w:rsidRDefault="00000000">
            <w:pPr>
              <w:spacing w:after="40" w:line="240" w:lineRule="auto"/>
              <w:rPr>
                <w:rFonts w:cs="Arial"/>
              </w:rPr>
            </w:pPr>
            <w:r>
              <w:rPr>
                <w:rFonts w:cs="Arial"/>
                <w:sz w:val="17"/>
              </w:rPr>
              <w:t>Incorrect decision route, invalid approval or damaged confidence.</w:t>
            </w:r>
          </w:p>
        </w:tc>
        <w:tc>
          <w:tcPr>
            <w:tcW w:w="4426" w:type="dxa"/>
          </w:tcPr>
          <w:p w14:paraId="4F44307B" w14:textId="77777777" w:rsidR="00BA232D" w:rsidRDefault="00000000">
            <w:pPr>
              <w:spacing w:after="40" w:line="240" w:lineRule="auto"/>
              <w:rPr>
                <w:rFonts w:cs="Arial"/>
              </w:rPr>
            </w:pPr>
            <w:r>
              <w:rPr>
                <w:rFonts w:cs="Arial"/>
                <w:sz w:val="17"/>
              </w:rPr>
              <w:t>Citation enforcement, unknown response, restricted source corpus, model evaluation and legal escalation.</w:t>
            </w:r>
          </w:p>
        </w:tc>
      </w:tr>
      <w:tr w:rsidR="00BA232D" w14:paraId="17C7B85D" w14:textId="77777777">
        <w:trPr>
          <w:cantSplit/>
          <w:jc w:val="center"/>
        </w:trPr>
        <w:tc>
          <w:tcPr>
            <w:tcW w:w="1977" w:type="dxa"/>
            <w:shd w:val="clear" w:color="auto" w:fill="EAF1F7"/>
          </w:tcPr>
          <w:p w14:paraId="0038A68F" w14:textId="77777777" w:rsidR="00BA232D" w:rsidRDefault="00000000">
            <w:pPr>
              <w:spacing w:after="40" w:line="240" w:lineRule="auto"/>
              <w:rPr>
                <w:rFonts w:cs="Arial"/>
              </w:rPr>
            </w:pPr>
            <w:r>
              <w:rPr>
                <w:rFonts w:cs="Arial"/>
                <w:sz w:val="17"/>
              </w:rPr>
              <w:t>Data leakage</w:t>
            </w:r>
          </w:p>
        </w:tc>
        <w:tc>
          <w:tcPr>
            <w:tcW w:w="3333" w:type="dxa"/>
            <w:shd w:val="clear" w:color="auto" w:fill="EAF1F7"/>
          </w:tcPr>
          <w:p w14:paraId="185A77F8" w14:textId="77777777" w:rsidR="00BA232D" w:rsidRDefault="00000000">
            <w:pPr>
              <w:spacing w:after="40" w:line="240" w:lineRule="auto"/>
              <w:rPr>
                <w:rFonts w:cs="Arial"/>
              </w:rPr>
            </w:pPr>
            <w:r>
              <w:rPr>
                <w:rFonts w:cs="Arial"/>
                <w:sz w:val="17"/>
              </w:rPr>
              <w:t>Exposure of sensitive Board or shareholder material.</w:t>
            </w:r>
          </w:p>
        </w:tc>
        <w:tc>
          <w:tcPr>
            <w:tcW w:w="4426" w:type="dxa"/>
            <w:shd w:val="clear" w:color="auto" w:fill="EAF1F7"/>
          </w:tcPr>
          <w:p w14:paraId="61B92B87" w14:textId="77777777" w:rsidR="00BA232D" w:rsidRDefault="00000000">
            <w:pPr>
              <w:spacing w:after="40" w:line="240" w:lineRule="auto"/>
              <w:rPr>
                <w:rFonts w:cs="Arial"/>
              </w:rPr>
            </w:pPr>
            <w:r>
              <w:rPr>
                <w:rFonts w:cs="Arial"/>
                <w:sz w:val="17"/>
              </w:rPr>
              <w:t>Local deployment, role-based access, encryption, audit logs and no external model training.</w:t>
            </w:r>
          </w:p>
        </w:tc>
      </w:tr>
      <w:tr w:rsidR="00BA232D" w14:paraId="6DDB708D" w14:textId="77777777">
        <w:trPr>
          <w:cantSplit/>
          <w:jc w:val="center"/>
        </w:trPr>
        <w:tc>
          <w:tcPr>
            <w:tcW w:w="1977" w:type="dxa"/>
          </w:tcPr>
          <w:p w14:paraId="63F87710" w14:textId="77777777" w:rsidR="00BA232D" w:rsidRDefault="00000000">
            <w:pPr>
              <w:spacing w:after="40" w:line="240" w:lineRule="auto"/>
              <w:rPr>
                <w:rFonts w:cs="Arial"/>
              </w:rPr>
            </w:pPr>
            <w:r>
              <w:rPr>
                <w:rFonts w:cs="Arial"/>
                <w:sz w:val="17"/>
              </w:rPr>
              <w:t>Over-reliance and deskilling</w:t>
            </w:r>
          </w:p>
        </w:tc>
        <w:tc>
          <w:tcPr>
            <w:tcW w:w="3333" w:type="dxa"/>
          </w:tcPr>
          <w:p w14:paraId="4DFC9241" w14:textId="77777777" w:rsidR="00BA232D" w:rsidRDefault="00000000">
            <w:pPr>
              <w:spacing w:after="40" w:line="240" w:lineRule="auto"/>
              <w:rPr>
                <w:rFonts w:cs="Arial"/>
              </w:rPr>
            </w:pPr>
            <w:r>
              <w:rPr>
                <w:rFonts w:cs="Arial"/>
                <w:sz w:val="17"/>
              </w:rPr>
              <w:t>Secretaries stop exercising judgement or reviewing source material.</w:t>
            </w:r>
          </w:p>
        </w:tc>
        <w:tc>
          <w:tcPr>
            <w:tcW w:w="4426" w:type="dxa"/>
          </w:tcPr>
          <w:p w14:paraId="6D83A19A" w14:textId="77777777" w:rsidR="00BA232D" w:rsidRDefault="00000000">
            <w:pPr>
              <w:spacing w:after="40" w:line="240" w:lineRule="auto"/>
              <w:rPr>
                <w:rFonts w:cs="Arial"/>
              </w:rPr>
            </w:pPr>
            <w:r>
              <w:rPr>
                <w:rFonts w:cs="Arial"/>
                <w:sz w:val="17"/>
              </w:rPr>
              <w:t>Human sign-off, training, random quality checks and clear accountability.</w:t>
            </w:r>
          </w:p>
        </w:tc>
      </w:tr>
      <w:tr w:rsidR="00BA232D" w14:paraId="1AB48D1A" w14:textId="77777777">
        <w:trPr>
          <w:cantSplit/>
          <w:jc w:val="center"/>
        </w:trPr>
        <w:tc>
          <w:tcPr>
            <w:tcW w:w="1977" w:type="dxa"/>
            <w:shd w:val="clear" w:color="auto" w:fill="EAF1F7"/>
          </w:tcPr>
          <w:p w14:paraId="1679C8BC" w14:textId="77777777" w:rsidR="00BA232D" w:rsidRDefault="00000000">
            <w:pPr>
              <w:spacing w:after="40" w:line="240" w:lineRule="auto"/>
              <w:rPr>
                <w:rFonts w:cs="Arial"/>
              </w:rPr>
            </w:pPr>
            <w:r>
              <w:rPr>
                <w:rFonts w:cs="Arial"/>
                <w:sz w:val="17"/>
              </w:rPr>
              <w:t>Mandate creep</w:t>
            </w:r>
          </w:p>
        </w:tc>
        <w:tc>
          <w:tcPr>
            <w:tcW w:w="3333" w:type="dxa"/>
            <w:shd w:val="clear" w:color="auto" w:fill="EAF1F7"/>
          </w:tcPr>
          <w:p w14:paraId="5916A358" w14:textId="77777777" w:rsidR="00BA232D" w:rsidRDefault="00000000">
            <w:pPr>
              <w:spacing w:after="40" w:line="240" w:lineRule="auto"/>
              <w:rPr>
                <w:rFonts w:cs="Arial"/>
              </w:rPr>
            </w:pPr>
            <w:r>
              <w:rPr>
                <w:rFonts w:cs="Arial"/>
                <w:sz w:val="17"/>
              </w:rPr>
              <w:t>PCAD or the platform appears to direct portfolio-company decisions.</w:t>
            </w:r>
          </w:p>
        </w:tc>
        <w:tc>
          <w:tcPr>
            <w:tcW w:w="4426" w:type="dxa"/>
            <w:shd w:val="clear" w:color="auto" w:fill="EAF1F7"/>
          </w:tcPr>
          <w:p w14:paraId="54855902" w14:textId="77777777" w:rsidR="00BA232D" w:rsidRDefault="00000000">
            <w:pPr>
              <w:spacing w:after="40" w:line="240" w:lineRule="auto"/>
              <w:rPr>
                <w:rFonts w:cs="Arial"/>
              </w:rPr>
            </w:pPr>
            <w:r>
              <w:rPr>
                <w:rFonts w:cs="Arial"/>
                <w:sz w:val="17"/>
              </w:rPr>
              <w:t>Governance compatibility rules and explicit distinction between support, assurance and approval.</w:t>
            </w:r>
          </w:p>
        </w:tc>
      </w:tr>
      <w:tr w:rsidR="00BA232D" w14:paraId="6D09636B" w14:textId="77777777">
        <w:trPr>
          <w:cantSplit/>
          <w:jc w:val="center"/>
        </w:trPr>
        <w:tc>
          <w:tcPr>
            <w:tcW w:w="1977" w:type="dxa"/>
          </w:tcPr>
          <w:p w14:paraId="1B95DD17" w14:textId="77777777" w:rsidR="00BA232D" w:rsidRDefault="00000000">
            <w:pPr>
              <w:spacing w:after="40" w:line="240" w:lineRule="auto"/>
              <w:rPr>
                <w:rFonts w:cs="Arial"/>
              </w:rPr>
            </w:pPr>
            <w:r>
              <w:rPr>
                <w:rFonts w:cs="Arial"/>
                <w:sz w:val="17"/>
              </w:rPr>
              <w:t>Low adoption</w:t>
            </w:r>
          </w:p>
        </w:tc>
        <w:tc>
          <w:tcPr>
            <w:tcW w:w="3333" w:type="dxa"/>
          </w:tcPr>
          <w:p w14:paraId="5F4F6923" w14:textId="77777777" w:rsidR="00BA232D" w:rsidRDefault="00000000">
            <w:pPr>
              <w:spacing w:after="40" w:line="240" w:lineRule="auto"/>
              <w:rPr>
                <w:rFonts w:cs="Arial"/>
              </w:rPr>
            </w:pPr>
            <w:r>
              <w:rPr>
                <w:rFonts w:cs="Arial"/>
                <w:sz w:val="17"/>
              </w:rPr>
              <w:t>Tool is technically available but unused.</w:t>
            </w:r>
          </w:p>
        </w:tc>
        <w:tc>
          <w:tcPr>
            <w:tcW w:w="4426" w:type="dxa"/>
          </w:tcPr>
          <w:p w14:paraId="04813CE2" w14:textId="77777777" w:rsidR="00BA232D" w:rsidRDefault="00000000">
            <w:pPr>
              <w:spacing w:after="40" w:line="240" w:lineRule="auto"/>
              <w:rPr>
                <w:rFonts w:cs="Arial"/>
              </w:rPr>
            </w:pPr>
            <w:r>
              <w:rPr>
                <w:rFonts w:cs="Arial"/>
                <w:sz w:val="17"/>
              </w:rPr>
              <w:t>Start with action tracker, co-design with secretaries, visible citations and chair sponsorship.</w:t>
            </w:r>
          </w:p>
        </w:tc>
      </w:tr>
      <w:tr w:rsidR="00BA232D" w14:paraId="4B21DF4F" w14:textId="77777777">
        <w:trPr>
          <w:cantSplit/>
          <w:jc w:val="center"/>
        </w:trPr>
        <w:tc>
          <w:tcPr>
            <w:tcW w:w="1977" w:type="dxa"/>
            <w:shd w:val="clear" w:color="auto" w:fill="EAF1F7"/>
          </w:tcPr>
          <w:p w14:paraId="1C37FE5A" w14:textId="77777777" w:rsidR="00BA232D" w:rsidRDefault="00000000">
            <w:pPr>
              <w:spacing w:after="40" w:line="240" w:lineRule="auto"/>
              <w:rPr>
                <w:rFonts w:cs="Arial"/>
              </w:rPr>
            </w:pPr>
            <w:r>
              <w:rPr>
                <w:rFonts w:cs="Arial"/>
                <w:sz w:val="17"/>
              </w:rPr>
              <w:t>Cybersecurity threat</w:t>
            </w:r>
          </w:p>
        </w:tc>
        <w:tc>
          <w:tcPr>
            <w:tcW w:w="3333" w:type="dxa"/>
            <w:shd w:val="clear" w:color="auto" w:fill="EAF1F7"/>
          </w:tcPr>
          <w:p w14:paraId="2B258D8D" w14:textId="77777777" w:rsidR="00BA232D" w:rsidRDefault="00000000">
            <w:pPr>
              <w:spacing w:after="40" w:line="240" w:lineRule="auto"/>
              <w:rPr>
                <w:rFonts w:cs="Arial"/>
              </w:rPr>
            </w:pPr>
            <w:r>
              <w:rPr>
                <w:rFonts w:cs="Arial"/>
                <w:sz w:val="17"/>
              </w:rPr>
              <w:t>Board data becomes a high-value target.</w:t>
            </w:r>
          </w:p>
        </w:tc>
        <w:tc>
          <w:tcPr>
            <w:tcW w:w="4426" w:type="dxa"/>
            <w:shd w:val="clear" w:color="auto" w:fill="EAF1F7"/>
          </w:tcPr>
          <w:p w14:paraId="5AB41F4E" w14:textId="77777777" w:rsidR="00BA232D" w:rsidRDefault="00000000">
            <w:pPr>
              <w:spacing w:after="40" w:line="240" w:lineRule="auto"/>
              <w:rPr>
                <w:rFonts w:cs="Arial"/>
              </w:rPr>
            </w:pPr>
            <w:r>
              <w:rPr>
                <w:rFonts w:cs="Arial"/>
                <w:sz w:val="17"/>
              </w:rPr>
              <w:t>Security assessment, access logging, data minimisation and incident response plan.</w:t>
            </w:r>
          </w:p>
        </w:tc>
      </w:tr>
      <w:tr w:rsidR="00BA232D" w14:paraId="48A862AE" w14:textId="77777777">
        <w:trPr>
          <w:cantSplit/>
          <w:jc w:val="center"/>
        </w:trPr>
        <w:tc>
          <w:tcPr>
            <w:tcW w:w="1977" w:type="dxa"/>
          </w:tcPr>
          <w:p w14:paraId="6D80A9B8" w14:textId="77777777" w:rsidR="00BA232D" w:rsidRDefault="00000000">
            <w:pPr>
              <w:spacing w:after="40" w:line="240" w:lineRule="auto"/>
              <w:rPr>
                <w:rFonts w:cs="Arial"/>
              </w:rPr>
            </w:pPr>
            <w:r>
              <w:rPr>
                <w:rFonts w:cs="Arial"/>
                <w:sz w:val="17"/>
              </w:rPr>
              <w:t>Environmental cost</w:t>
            </w:r>
          </w:p>
        </w:tc>
        <w:tc>
          <w:tcPr>
            <w:tcW w:w="3333" w:type="dxa"/>
          </w:tcPr>
          <w:p w14:paraId="7BFBF7BE" w14:textId="77777777" w:rsidR="00BA232D" w:rsidRDefault="00000000">
            <w:pPr>
              <w:spacing w:after="40" w:line="240" w:lineRule="auto"/>
              <w:rPr>
                <w:rFonts w:cs="Arial"/>
              </w:rPr>
            </w:pPr>
            <w:r>
              <w:rPr>
                <w:rFonts w:cs="Arial"/>
                <w:sz w:val="17"/>
              </w:rPr>
              <w:t>Unnecessary compute undermines responsible technology claims.</w:t>
            </w:r>
          </w:p>
        </w:tc>
        <w:tc>
          <w:tcPr>
            <w:tcW w:w="4426" w:type="dxa"/>
          </w:tcPr>
          <w:p w14:paraId="0C5C36A0" w14:textId="77777777" w:rsidR="00BA232D" w:rsidRDefault="00000000">
            <w:pPr>
              <w:spacing w:after="40" w:line="240" w:lineRule="auto"/>
              <w:rPr>
                <w:rFonts w:cs="Arial"/>
              </w:rPr>
            </w:pPr>
            <w:r>
              <w:rPr>
                <w:rFonts w:cs="Arial"/>
                <w:sz w:val="17"/>
              </w:rPr>
              <w:t>Smaller adequate models, retrieval-first design and measured infrastructure use.</w:t>
            </w:r>
          </w:p>
        </w:tc>
      </w:tr>
    </w:tbl>
    <w:p w14:paraId="7EDE7CC8" w14:textId="77777777" w:rsidR="00BA232D" w:rsidRDefault="00BA232D"/>
    <w:p w14:paraId="3866011D" w14:textId="77777777" w:rsidR="00BA232D" w:rsidRDefault="00000000">
      <w:pPr>
        <w:pStyle w:val="Heading2"/>
        <w:spacing w:before="200"/>
      </w:pPr>
      <w:bookmarkStart w:id="42" w:name="_Toc234699817"/>
      <w:bookmarkStart w:id="43" w:name="_Toc234702419"/>
      <w:r>
        <w:rPr>
          <w:rFonts w:ascii="Arial" w:eastAsia="Arial" w:hAnsi="Arial"/>
        </w:rPr>
        <w:t>7.1 Governance of the AI system</w:t>
      </w:r>
      <w:bookmarkEnd w:id="42"/>
      <w:bookmarkEnd w:id="43"/>
    </w:p>
    <w:p w14:paraId="3C458423" w14:textId="77777777" w:rsidR="00BA232D" w:rsidRDefault="00000000" w:rsidP="004F5761">
      <w:pPr>
        <w:spacing w:line="276" w:lineRule="auto"/>
        <w:jc w:val="lowKashida"/>
      </w:pPr>
      <w:r>
        <w:t>Governance platforms must themselves be governed. Therefore, there needs to be a very small steering committee formed for this project with representatives from: PCAD, Legal, Digital, Cybersecurity, Data Governance and pilot company(s). The steering committee will be responsible for approving the scope of the pilot, defining the boundaries of data used during the pilot, specifying how models were chosen for use during the pilot, establishing thresholds for accepting results produced by the technology, determining acceptable user roles, identifying the process to follow if incidents occur during testing and determining when additional pilots will be initiated. Additionally, the steering committee must establish a risk register and review all exceptions to established processes after each testing cycle. Exceptions should be treated as opportunities to reflect on why certain assumptions or rules exist and whether they should continue to be followed versus attempting to simply fix specific instances of errors as is typically done with single loop learning (Argyris, 1977). As with other AI Management Systems, this programme requires continued oversight, monitoring and refinement compared to only initial approval (ISO/IEC, 2023).</w:t>
      </w:r>
    </w:p>
    <w:p w14:paraId="51EAFAF2" w14:textId="77777777" w:rsidR="00BA232D" w:rsidRDefault="00000000" w:rsidP="004F5761">
      <w:pPr>
        <w:spacing w:line="276" w:lineRule="auto"/>
        <w:jc w:val="lowKashida"/>
      </w:pPr>
      <w:r>
        <w:t>In addition to oversight, the platform will need to contain an evaluation procedure for both models and content. The testing set should include common and adversarial governance questions such as authority, quorum, conflict, ability to look up previous decision(s), inability to find source for answer provided, contradictory policies and outdated documentation. When evaluating the performance of the technology, failure should be viewed as safe. A successful outcome will be defined not only by producing accurate answers but also by refusing to provide an answer when the inputted documentation does not adequately support an answer.</w:t>
      </w:r>
    </w:p>
    <w:p w14:paraId="3CC4B7A7" w14:textId="77777777" w:rsidR="004F5761" w:rsidRDefault="004F5761">
      <w:pPr>
        <w:spacing w:after="0" w:line="240" w:lineRule="auto"/>
        <w:rPr>
          <w:rFonts w:cstheme="majorBidi"/>
          <w:b/>
          <w:bCs/>
          <w:color w:val="1F4E79"/>
          <w:sz w:val="32"/>
          <w:szCs w:val="28"/>
        </w:rPr>
      </w:pPr>
      <w:bookmarkStart w:id="44" w:name="_Toc234699818"/>
      <w:r>
        <w:br w:type="page"/>
      </w:r>
    </w:p>
    <w:p w14:paraId="0B8FCABA" w14:textId="5A95B81B" w:rsidR="00BA232D" w:rsidRDefault="00000000">
      <w:pPr>
        <w:pStyle w:val="Heading1"/>
        <w:spacing w:before="280" w:after="120"/>
      </w:pPr>
      <w:bookmarkStart w:id="45" w:name="_Toc234702420"/>
      <w:r>
        <w:rPr>
          <w:rFonts w:ascii="Arial" w:eastAsia="Arial" w:hAnsi="Arial"/>
        </w:rPr>
        <w:lastRenderedPageBreak/>
        <w:t>8. Leadership, Culture, Capability and Stakeholder Reactions</w:t>
      </w:r>
      <w:bookmarkEnd w:id="44"/>
      <w:bookmarkEnd w:id="45"/>
    </w:p>
    <w:p w14:paraId="2660FCEA" w14:textId="77777777" w:rsidR="00BA232D" w:rsidRDefault="00000000" w:rsidP="004F5761">
      <w:pPr>
        <w:spacing w:line="276" w:lineRule="auto"/>
        <w:jc w:val="lowKashida"/>
      </w:pPr>
      <w:r>
        <w:t xml:space="preserve">The use of the technology will influence stakeholders' behaviours, identities and power dynamics, therefore, the responses from all stakeholders to this technological innovation are input for the design of the platform and not "noise" during the implementation of it. Therefore, a Board secretary may worry about being replaced or exposed. A Chairperson may worry that he or she will have to lead a very mechanical meeting. A CEO may be concerned that there could be a monitoring system on the management team. A legal department may be concerned about unauthorised access to advice. A digital and cybersecurity department may be concerned that they would lose control of how the data moves. PCAD may be concerned that there could be a loss of some advisory responsibilities but also an increase in their overall responsibility for an area that has no clearly defined boundaries. </w:t>
      </w:r>
    </w:p>
    <w:p w14:paraId="71D37173" w14:textId="77777777" w:rsidR="00BA232D" w:rsidRDefault="00000000" w:rsidP="004F5761">
      <w:pPr>
        <w:spacing w:line="276" w:lineRule="auto"/>
        <w:jc w:val="lowKashida"/>
      </w:pPr>
      <w:r>
        <w:t>All these concerns are valid and need to be addressed through the design of the platform, its sponsorship and operational parameters. Adoption of the technology will continue if the new practices can be embedded into the daily routines and forums where actual governance work occurs versus solely relying upon announcements (Kotter, 1996) or whether the underlying organisational culture views a cited, checkable answer as a sign of professionalism instead of weakness (Schein, 2010).</w:t>
      </w:r>
    </w:p>
    <w:p w14:paraId="57B43DD0" w14:textId="77777777" w:rsidR="00BA232D" w:rsidRDefault="00000000" w:rsidP="004F5761">
      <w:pPr>
        <w:spacing w:line="276" w:lineRule="auto"/>
        <w:jc w:val="lowKashida"/>
      </w:pPr>
      <w:r>
        <w:t>The leadership message should focus on protecting the interests of each group listed above as opposed to promoting them. Protecting the secretary with cited support under pressure (Secretariat-in-a-Box); protecting the Chairperson by eliminating missed agenda items and providing strong follow-through; protecting the CEO by increasing the quality of communication between the management team and the Board; protecting PCAD by ensuring that the scale of governance assurance does not compromise the level of operational detail; and finally protecting the organisation as a whole by maintaining the ability for employees to remain accountable locally while allowing employee actions to remain monitored via data.</w:t>
      </w:r>
    </w:p>
    <w:p w14:paraId="38B44A47" w14:textId="77777777" w:rsidR="00BA232D" w:rsidRDefault="00000000">
      <w:pPr>
        <w:pStyle w:val="Caption"/>
        <w:spacing w:before="120" w:after="40"/>
      </w:pPr>
      <w:r>
        <w:t>Table 10. Micro-level stakeholder reactions and responses.</w:t>
      </w:r>
    </w:p>
    <w:tbl>
      <w:tblPr>
        <w:tblStyle w:val="TableGrid"/>
        <w:tblW w:w="9736" w:type="dxa"/>
        <w:jc w:val="center"/>
        <w:tblLayout w:type="fixed"/>
        <w:tblLook w:val="04A0" w:firstRow="1" w:lastRow="0" w:firstColumn="1" w:lastColumn="0" w:noHBand="0" w:noVBand="1"/>
      </w:tblPr>
      <w:tblGrid>
        <w:gridCol w:w="3004"/>
        <w:gridCol w:w="3020"/>
        <w:gridCol w:w="3712"/>
      </w:tblGrid>
      <w:tr w:rsidR="00BA232D" w14:paraId="343576ED" w14:textId="77777777">
        <w:trPr>
          <w:cantSplit/>
          <w:tblHeader/>
          <w:jc w:val="center"/>
        </w:trPr>
        <w:tc>
          <w:tcPr>
            <w:tcW w:w="3004" w:type="dxa"/>
            <w:shd w:val="clear" w:color="auto" w:fill="1F4E79"/>
          </w:tcPr>
          <w:p w14:paraId="779246FA" w14:textId="77777777" w:rsidR="00BA232D" w:rsidRDefault="00000000">
            <w:pPr>
              <w:spacing w:after="40" w:line="240" w:lineRule="auto"/>
              <w:rPr>
                <w:rFonts w:cs="Arial"/>
              </w:rPr>
            </w:pPr>
            <w:r>
              <w:rPr>
                <w:rFonts w:cs="Arial"/>
                <w:b/>
                <w:color w:val="FFFFFF"/>
                <w:sz w:val="17"/>
              </w:rPr>
              <w:t>Stakeholder reaction</w:t>
            </w:r>
          </w:p>
        </w:tc>
        <w:tc>
          <w:tcPr>
            <w:tcW w:w="3020" w:type="dxa"/>
            <w:shd w:val="clear" w:color="auto" w:fill="1F4E79"/>
          </w:tcPr>
          <w:p w14:paraId="41B9E612" w14:textId="77777777" w:rsidR="00BA232D" w:rsidRDefault="00000000">
            <w:pPr>
              <w:spacing w:after="40" w:line="240" w:lineRule="auto"/>
              <w:rPr>
                <w:rFonts w:cs="Arial"/>
              </w:rPr>
            </w:pPr>
            <w:r>
              <w:rPr>
                <w:rFonts w:cs="Arial"/>
                <w:b/>
                <w:color w:val="FFFFFF"/>
                <w:sz w:val="17"/>
              </w:rPr>
              <w:t>Likely concern</w:t>
            </w:r>
          </w:p>
        </w:tc>
        <w:tc>
          <w:tcPr>
            <w:tcW w:w="3712" w:type="dxa"/>
            <w:shd w:val="clear" w:color="auto" w:fill="1F4E79"/>
          </w:tcPr>
          <w:p w14:paraId="13BC271E" w14:textId="77777777" w:rsidR="00BA232D" w:rsidRDefault="00000000">
            <w:pPr>
              <w:spacing w:after="40" w:line="240" w:lineRule="auto"/>
              <w:rPr>
                <w:rFonts w:cs="Arial"/>
              </w:rPr>
            </w:pPr>
            <w:r>
              <w:rPr>
                <w:rFonts w:cs="Arial"/>
                <w:b/>
                <w:color w:val="FFFFFF"/>
                <w:sz w:val="17"/>
              </w:rPr>
              <w:t>Engagement response</w:t>
            </w:r>
          </w:p>
        </w:tc>
      </w:tr>
      <w:tr w:rsidR="00BA232D" w14:paraId="68B621E7" w14:textId="77777777">
        <w:trPr>
          <w:cantSplit/>
          <w:jc w:val="center"/>
        </w:trPr>
        <w:tc>
          <w:tcPr>
            <w:tcW w:w="3004" w:type="dxa"/>
          </w:tcPr>
          <w:p w14:paraId="02203173" w14:textId="77777777" w:rsidR="00BA232D" w:rsidRDefault="00000000">
            <w:pPr>
              <w:spacing w:after="40" w:line="240" w:lineRule="auto"/>
              <w:rPr>
                <w:rFonts w:cs="Arial"/>
              </w:rPr>
            </w:pPr>
            <w:r>
              <w:rPr>
                <w:rFonts w:cs="Arial"/>
                <w:sz w:val="17"/>
              </w:rPr>
              <w:t>Board secretaries</w:t>
            </w:r>
          </w:p>
        </w:tc>
        <w:tc>
          <w:tcPr>
            <w:tcW w:w="3020" w:type="dxa"/>
          </w:tcPr>
          <w:p w14:paraId="2815C9F7" w14:textId="77777777" w:rsidR="00BA232D" w:rsidRDefault="00000000">
            <w:pPr>
              <w:spacing w:after="40" w:line="240" w:lineRule="auto"/>
              <w:rPr>
                <w:rFonts w:cs="Arial"/>
              </w:rPr>
            </w:pPr>
            <w:r>
              <w:rPr>
                <w:rFonts w:cs="Arial"/>
                <w:sz w:val="17"/>
              </w:rPr>
              <w:t>Fear of replacement, exposure or loss of professional identity.</w:t>
            </w:r>
          </w:p>
        </w:tc>
        <w:tc>
          <w:tcPr>
            <w:tcW w:w="3712" w:type="dxa"/>
          </w:tcPr>
          <w:p w14:paraId="66F1E39E" w14:textId="77777777" w:rsidR="00BA232D" w:rsidRDefault="00000000">
            <w:pPr>
              <w:spacing w:after="40" w:line="240" w:lineRule="auto"/>
              <w:rPr>
                <w:rFonts w:cs="Arial"/>
              </w:rPr>
            </w:pPr>
            <w:r>
              <w:rPr>
                <w:rFonts w:cs="Arial"/>
                <w:sz w:val="17"/>
              </w:rPr>
              <w:t>Co-design the workflow, make sign-off theirs, and position the tool as a coach and evidence assistant rather than a substitute.</w:t>
            </w:r>
          </w:p>
        </w:tc>
      </w:tr>
      <w:tr w:rsidR="00BA232D" w14:paraId="4763DD24" w14:textId="77777777">
        <w:trPr>
          <w:cantSplit/>
          <w:jc w:val="center"/>
        </w:trPr>
        <w:tc>
          <w:tcPr>
            <w:tcW w:w="3004" w:type="dxa"/>
          </w:tcPr>
          <w:p w14:paraId="2E3F7E46" w14:textId="77777777" w:rsidR="00BA232D" w:rsidRDefault="00000000">
            <w:pPr>
              <w:spacing w:after="40" w:line="240" w:lineRule="auto"/>
              <w:rPr>
                <w:rFonts w:cs="Arial"/>
              </w:rPr>
            </w:pPr>
            <w:r>
              <w:rPr>
                <w:rFonts w:cs="Arial"/>
                <w:sz w:val="17"/>
              </w:rPr>
              <w:t>Chairpersons and directors</w:t>
            </w:r>
          </w:p>
        </w:tc>
        <w:tc>
          <w:tcPr>
            <w:tcW w:w="3020" w:type="dxa"/>
          </w:tcPr>
          <w:p w14:paraId="54DC17B9" w14:textId="77777777" w:rsidR="00BA232D" w:rsidRDefault="00000000">
            <w:pPr>
              <w:spacing w:after="40" w:line="240" w:lineRule="auto"/>
              <w:rPr>
                <w:rFonts w:cs="Arial"/>
              </w:rPr>
            </w:pPr>
            <w:r>
              <w:rPr>
                <w:rFonts w:cs="Arial"/>
                <w:sz w:val="17"/>
              </w:rPr>
              <w:t>Concern that meetings become over-mechanised, or that AI answers weaken the Chairperson’s judgement and control of the meeting.</w:t>
            </w:r>
          </w:p>
        </w:tc>
        <w:tc>
          <w:tcPr>
            <w:tcW w:w="3712" w:type="dxa"/>
          </w:tcPr>
          <w:p w14:paraId="1A86FB50" w14:textId="77777777" w:rsidR="00BA232D" w:rsidRDefault="00000000">
            <w:pPr>
              <w:spacing w:after="40" w:line="240" w:lineRule="auto"/>
              <w:rPr>
                <w:rFonts w:cs="Arial"/>
              </w:rPr>
            </w:pPr>
            <w:r>
              <w:rPr>
                <w:rFonts w:cs="Arial"/>
                <w:sz w:val="17"/>
              </w:rPr>
              <w:t>Begin with agenda completeness, action tracking and cited source checks; keep live advisory use optional until trust is earned.</w:t>
            </w:r>
          </w:p>
        </w:tc>
      </w:tr>
      <w:tr w:rsidR="00BA232D" w14:paraId="69F3688D" w14:textId="77777777">
        <w:trPr>
          <w:cantSplit/>
          <w:jc w:val="center"/>
        </w:trPr>
        <w:tc>
          <w:tcPr>
            <w:tcW w:w="3004" w:type="dxa"/>
          </w:tcPr>
          <w:p w14:paraId="5D2786F1" w14:textId="77777777" w:rsidR="00BA232D" w:rsidRDefault="00000000">
            <w:pPr>
              <w:spacing w:after="40" w:line="240" w:lineRule="auto"/>
              <w:rPr>
                <w:rFonts w:cs="Arial"/>
              </w:rPr>
            </w:pPr>
            <w:r>
              <w:rPr>
                <w:rFonts w:cs="Arial"/>
                <w:sz w:val="17"/>
              </w:rPr>
              <w:t>CEO and executive management</w:t>
            </w:r>
          </w:p>
        </w:tc>
        <w:tc>
          <w:tcPr>
            <w:tcW w:w="3020" w:type="dxa"/>
          </w:tcPr>
          <w:p w14:paraId="5070B5B9" w14:textId="77777777" w:rsidR="00BA232D" w:rsidRDefault="00000000">
            <w:pPr>
              <w:spacing w:after="40" w:line="240" w:lineRule="auto"/>
              <w:rPr>
                <w:rFonts w:cs="Arial"/>
              </w:rPr>
            </w:pPr>
            <w:r>
              <w:rPr>
                <w:rFonts w:cs="Arial"/>
                <w:sz w:val="17"/>
              </w:rPr>
              <w:t>Concern that the platform becomes a hidden monitoring tool or increases Board challenge without improving management support.</w:t>
            </w:r>
          </w:p>
        </w:tc>
        <w:tc>
          <w:tcPr>
            <w:tcW w:w="3712" w:type="dxa"/>
          </w:tcPr>
          <w:p w14:paraId="0EF862CF" w14:textId="77777777" w:rsidR="00BA232D" w:rsidRDefault="00000000">
            <w:pPr>
              <w:spacing w:after="40" w:line="240" w:lineRule="auto"/>
              <w:rPr>
                <w:rFonts w:cs="Arial"/>
              </w:rPr>
            </w:pPr>
            <w:r>
              <w:rPr>
                <w:rFonts w:cs="Arial"/>
                <w:sz w:val="17"/>
              </w:rPr>
              <w:t>Position it as a service-quality tool that helps management prepare complete papers, route approvals correctly and receive clearer actions.</w:t>
            </w:r>
          </w:p>
        </w:tc>
      </w:tr>
      <w:tr w:rsidR="00BA232D" w14:paraId="79D410AF" w14:textId="77777777">
        <w:trPr>
          <w:cantSplit/>
          <w:jc w:val="center"/>
        </w:trPr>
        <w:tc>
          <w:tcPr>
            <w:tcW w:w="3004" w:type="dxa"/>
          </w:tcPr>
          <w:p w14:paraId="39FEE2C2" w14:textId="77777777" w:rsidR="00BA232D" w:rsidRDefault="00000000">
            <w:pPr>
              <w:spacing w:after="40" w:line="240" w:lineRule="auto"/>
              <w:rPr>
                <w:rFonts w:cs="Arial"/>
              </w:rPr>
            </w:pPr>
            <w:r>
              <w:rPr>
                <w:rFonts w:cs="Arial"/>
                <w:sz w:val="17"/>
              </w:rPr>
              <w:t>PCAD as portfolio governance guardian</w:t>
            </w:r>
          </w:p>
        </w:tc>
        <w:tc>
          <w:tcPr>
            <w:tcW w:w="3020" w:type="dxa"/>
          </w:tcPr>
          <w:p w14:paraId="024DF7C9" w14:textId="77777777" w:rsidR="00BA232D" w:rsidRDefault="00000000">
            <w:pPr>
              <w:spacing w:after="40" w:line="240" w:lineRule="auto"/>
              <w:rPr>
                <w:rFonts w:cs="Arial"/>
              </w:rPr>
            </w:pPr>
            <w:r>
              <w:rPr>
                <w:rFonts w:cs="Arial"/>
                <w:sz w:val="17"/>
              </w:rPr>
              <w:t>Risk that the platform is seen as a central control mechanism, or that PCAD unintentionally crosses from governance support into operational direction.</w:t>
            </w:r>
          </w:p>
        </w:tc>
        <w:tc>
          <w:tcPr>
            <w:tcW w:w="3712" w:type="dxa"/>
          </w:tcPr>
          <w:p w14:paraId="04277C31" w14:textId="77777777" w:rsidR="00BA232D" w:rsidRDefault="00000000">
            <w:pPr>
              <w:spacing w:after="40" w:line="240" w:lineRule="auto"/>
              <w:rPr>
                <w:rFonts w:cs="Arial"/>
              </w:rPr>
            </w:pPr>
            <w:r>
              <w:rPr>
                <w:rFonts w:cs="Arial"/>
                <w:sz w:val="17"/>
              </w:rPr>
              <w:t>Define PCAD’s role as standards, assurance, learning and capability building; use aggregated pilot insight and authorised channels rather than direct control of company records.</w:t>
            </w:r>
          </w:p>
        </w:tc>
      </w:tr>
      <w:tr w:rsidR="00BA232D" w14:paraId="41F57E99" w14:textId="77777777">
        <w:trPr>
          <w:cantSplit/>
          <w:jc w:val="center"/>
        </w:trPr>
        <w:tc>
          <w:tcPr>
            <w:tcW w:w="3004" w:type="dxa"/>
          </w:tcPr>
          <w:p w14:paraId="5790F2D7" w14:textId="77777777" w:rsidR="00BA232D" w:rsidRDefault="00000000">
            <w:pPr>
              <w:spacing w:after="40" w:line="240" w:lineRule="auto"/>
              <w:rPr>
                <w:rFonts w:cs="Arial"/>
              </w:rPr>
            </w:pPr>
            <w:r>
              <w:rPr>
                <w:rFonts w:cs="Arial"/>
                <w:sz w:val="17"/>
              </w:rPr>
              <w:t>Legal and Compliance</w:t>
            </w:r>
          </w:p>
        </w:tc>
        <w:tc>
          <w:tcPr>
            <w:tcW w:w="3020" w:type="dxa"/>
          </w:tcPr>
          <w:p w14:paraId="6EC0F499" w14:textId="77777777" w:rsidR="00BA232D" w:rsidRDefault="00000000">
            <w:pPr>
              <w:spacing w:after="40" w:line="240" w:lineRule="auto"/>
              <w:rPr>
                <w:rFonts w:cs="Arial"/>
              </w:rPr>
            </w:pPr>
            <w:r>
              <w:rPr>
                <w:rFonts w:cs="Arial"/>
                <w:sz w:val="17"/>
              </w:rPr>
              <w:t>Risk of unauthorised legal advice or false reliance.</w:t>
            </w:r>
          </w:p>
        </w:tc>
        <w:tc>
          <w:tcPr>
            <w:tcW w:w="3712" w:type="dxa"/>
          </w:tcPr>
          <w:p w14:paraId="7B749142" w14:textId="77777777" w:rsidR="00BA232D" w:rsidRDefault="00000000">
            <w:pPr>
              <w:spacing w:after="40" w:line="240" w:lineRule="auto"/>
              <w:rPr>
                <w:rFonts w:cs="Arial"/>
              </w:rPr>
            </w:pPr>
            <w:r>
              <w:rPr>
                <w:rFonts w:cs="Arial"/>
                <w:sz w:val="17"/>
              </w:rPr>
              <w:t>Define non-goals, escalation rules, legal review points and mandatory human sign-off.</w:t>
            </w:r>
          </w:p>
        </w:tc>
      </w:tr>
      <w:tr w:rsidR="00BA232D" w14:paraId="6B751AF2" w14:textId="77777777">
        <w:trPr>
          <w:cantSplit/>
          <w:jc w:val="center"/>
        </w:trPr>
        <w:tc>
          <w:tcPr>
            <w:tcW w:w="3004" w:type="dxa"/>
          </w:tcPr>
          <w:p w14:paraId="02068389" w14:textId="77777777" w:rsidR="00BA232D" w:rsidRDefault="00000000">
            <w:pPr>
              <w:spacing w:after="40" w:line="240" w:lineRule="auto"/>
              <w:rPr>
                <w:rFonts w:cs="Arial"/>
              </w:rPr>
            </w:pPr>
            <w:r>
              <w:rPr>
                <w:rFonts w:cs="Arial"/>
                <w:sz w:val="17"/>
              </w:rPr>
              <w:t>Digital, data and cybersecurity</w:t>
            </w:r>
          </w:p>
        </w:tc>
        <w:tc>
          <w:tcPr>
            <w:tcW w:w="3020" w:type="dxa"/>
          </w:tcPr>
          <w:p w14:paraId="4EF0CAFA" w14:textId="77777777" w:rsidR="00BA232D" w:rsidRDefault="00000000">
            <w:pPr>
              <w:spacing w:after="40" w:line="240" w:lineRule="auto"/>
              <w:rPr>
                <w:rFonts w:cs="Arial"/>
              </w:rPr>
            </w:pPr>
            <w:r>
              <w:rPr>
                <w:rFonts w:cs="Arial"/>
                <w:sz w:val="17"/>
              </w:rPr>
              <w:t>Data leakage, integration complexity, weak access controls and vendor lock-in.</w:t>
            </w:r>
          </w:p>
        </w:tc>
        <w:tc>
          <w:tcPr>
            <w:tcW w:w="3712" w:type="dxa"/>
          </w:tcPr>
          <w:p w14:paraId="06A7B91C" w14:textId="77777777" w:rsidR="00BA232D" w:rsidRDefault="00000000">
            <w:pPr>
              <w:spacing w:after="40" w:line="240" w:lineRule="auto"/>
              <w:rPr>
                <w:rFonts w:cs="Arial"/>
              </w:rPr>
            </w:pPr>
            <w:r>
              <w:rPr>
                <w:rFonts w:cs="Arial"/>
                <w:sz w:val="17"/>
              </w:rPr>
              <w:t>Use local deployment, model-agnostic architecture, role-based access, audit logs and security testing.</w:t>
            </w:r>
          </w:p>
        </w:tc>
      </w:tr>
      <w:tr w:rsidR="00BA232D" w14:paraId="27780B7C" w14:textId="77777777">
        <w:trPr>
          <w:cantSplit/>
          <w:jc w:val="center"/>
        </w:trPr>
        <w:tc>
          <w:tcPr>
            <w:tcW w:w="3004" w:type="dxa"/>
          </w:tcPr>
          <w:p w14:paraId="0697A377" w14:textId="77777777" w:rsidR="00BA232D" w:rsidRDefault="00000000">
            <w:pPr>
              <w:spacing w:after="40" w:line="240" w:lineRule="auto"/>
              <w:rPr>
                <w:rFonts w:cs="Arial"/>
              </w:rPr>
            </w:pPr>
            <w:r>
              <w:rPr>
                <w:rFonts w:cs="Arial"/>
                <w:sz w:val="17"/>
              </w:rPr>
              <w:t>Portfolio-company executives</w:t>
            </w:r>
          </w:p>
        </w:tc>
        <w:tc>
          <w:tcPr>
            <w:tcW w:w="3020" w:type="dxa"/>
          </w:tcPr>
          <w:p w14:paraId="0266AEED" w14:textId="77777777" w:rsidR="00BA232D" w:rsidRDefault="00000000">
            <w:pPr>
              <w:spacing w:after="40" w:line="240" w:lineRule="auto"/>
              <w:rPr>
                <w:rFonts w:cs="Arial"/>
              </w:rPr>
            </w:pPr>
            <w:r>
              <w:rPr>
                <w:rFonts w:cs="Arial"/>
                <w:sz w:val="17"/>
              </w:rPr>
              <w:t>Concern that PIF is entering operational governance or changing authority without formal approval.</w:t>
            </w:r>
          </w:p>
        </w:tc>
        <w:tc>
          <w:tcPr>
            <w:tcW w:w="3712" w:type="dxa"/>
          </w:tcPr>
          <w:p w14:paraId="38517165" w14:textId="77777777" w:rsidR="00BA232D" w:rsidRDefault="00000000">
            <w:pPr>
              <w:spacing w:after="40" w:line="240" w:lineRule="auto"/>
              <w:rPr>
                <w:rFonts w:cs="Arial"/>
              </w:rPr>
            </w:pPr>
            <w:r>
              <w:rPr>
                <w:rFonts w:cs="Arial"/>
                <w:sz w:val="17"/>
              </w:rPr>
              <w:t>State clearly that the tool supports company-owned records and does not change Board, management or shareholder authority.</w:t>
            </w:r>
          </w:p>
        </w:tc>
      </w:tr>
    </w:tbl>
    <w:p w14:paraId="435D4BB8" w14:textId="77777777" w:rsidR="00BA232D" w:rsidRDefault="00BA232D"/>
    <w:p w14:paraId="6D2EAA1B" w14:textId="77777777" w:rsidR="00BA232D" w:rsidRDefault="00BA232D">
      <w:pPr>
        <w:spacing w:after="200" w:line="276" w:lineRule="auto"/>
        <w:rPr>
          <w:rFonts w:cstheme="majorBidi"/>
          <w:b/>
          <w:bCs/>
          <w:color w:val="1F4E79"/>
          <w:sz w:val="26"/>
          <w:szCs w:val="26"/>
        </w:rPr>
      </w:pPr>
    </w:p>
    <w:p w14:paraId="3240CCF7" w14:textId="77777777" w:rsidR="00BA232D" w:rsidRDefault="00000000">
      <w:pPr>
        <w:pStyle w:val="Heading2"/>
        <w:spacing w:before="200"/>
      </w:pPr>
      <w:bookmarkStart w:id="46" w:name="_Toc234699819"/>
      <w:bookmarkStart w:id="47" w:name="_Toc234702421"/>
      <w:r>
        <w:rPr>
          <w:rFonts w:ascii="Arial" w:eastAsia="Arial" w:hAnsi="Arial"/>
        </w:rPr>
        <w:lastRenderedPageBreak/>
        <w:t>8.1 Chairperson, CEO and PCAD vantage points</w:t>
      </w:r>
      <w:bookmarkEnd w:id="46"/>
      <w:bookmarkEnd w:id="47"/>
    </w:p>
    <w:p w14:paraId="7B03DCA5" w14:textId="77777777" w:rsidR="00BA232D" w:rsidRDefault="00000000" w:rsidP="004F5761">
      <w:pPr>
        <w:spacing w:line="276" w:lineRule="auto"/>
        <w:jc w:val="lowKashida"/>
      </w:pPr>
      <w:r>
        <w:t>Although the end-user is the Board Secretary in this project, three other higher-level views will judge the effectiveness of the product; the Chairperson (the person running the meeting), the Chief Executive Officer (who relies on an effective Board to management relationship) and PCAD (as a corporate governance advocate for all PIF companies). Therefore, during the trial phase we intend to test four separate measures of success: how usable the software is for secretaries, how confident Chairs are with the use of the system, how well does it deliver services to CEOs, and how much does it teach PCADs about corporate governance within their portfolios.</w:t>
      </w:r>
    </w:p>
    <w:p w14:paraId="5E3499A1" w14:textId="77777777" w:rsidR="00BA232D" w:rsidRDefault="00000000" w:rsidP="004F5761">
      <w:pPr>
        <w:pStyle w:val="Heading3"/>
        <w:spacing w:after="60"/>
        <w:jc w:val="lowKashida"/>
      </w:pPr>
      <w:bookmarkStart w:id="48" w:name="_Toc234699820"/>
      <w:bookmarkStart w:id="49" w:name="_Toc234702422"/>
      <w:r>
        <w:rPr>
          <w:rFonts w:ascii="Arial" w:eastAsia="Arial" w:hAnsi="Arial"/>
        </w:rPr>
        <w:t>Chairperson vantage point</w:t>
      </w:r>
      <w:bookmarkEnd w:id="48"/>
      <w:bookmarkEnd w:id="49"/>
    </w:p>
    <w:p w14:paraId="22F6A0B6" w14:textId="77777777" w:rsidR="00BA232D" w:rsidRDefault="00000000" w:rsidP="004F5761">
      <w:pPr>
        <w:spacing w:line="276" w:lineRule="auto"/>
        <w:jc w:val="lowKashida"/>
      </w:pPr>
      <w:r>
        <w:t>The platform for the Chairperson is useful in that it provides a method to help improve meeting control. Prior to the meeting, the Secretary may use the platform to check agenda completeness; ensure all charter mandated items have been included; verify which carried-forward actions are due for decision; and determine where each agenda item resides as to the approving body. Cited support during the meeting regarding quorum; voting thresholds; conflicts; delegation of authority; and previous decisions will assist in reducing uncertainty at the meeting. However, the platform should never replace judgement. The basic rule is as follows: the platform assists the secretary; the secretary advises the Chairperson; and the Chairperson leads the meeting. Following the meeting, the Chairperson will be able to review clearer minutes; more robust resolutions; clearly identify who has responsibility for what action item(s); and fewer items will fall through the cracks from one meeting to another.</w:t>
      </w:r>
    </w:p>
    <w:p w14:paraId="6A803D2E" w14:textId="77777777" w:rsidR="00BA232D" w:rsidRDefault="00000000" w:rsidP="004F5761">
      <w:pPr>
        <w:pStyle w:val="Heading3"/>
        <w:spacing w:after="60"/>
        <w:jc w:val="lowKashida"/>
      </w:pPr>
      <w:bookmarkStart w:id="50" w:name="_Toc234699821"/>
      <w:bookmarkStart w:id="51" w:name="_Toc234702423"/>
      <w:r>
        <w:rPr>
          <w:rFonts w:ascii="Arial" w:eastAsia="Arial" w:hAnsi="Arial"/>
        </w:rPr>
        <w:t>CEO vantage point</w:t>
      </w:r>
      <w:bookmarkEnd w:id="50"/>
      <w:bookmarkEnd w:id="51"/>
    </w:p>
    <w:p w14:paraId="54B81076" w14:textId="77777777" w:rsidR="00BA232D" w:rsidRDefault="00000000" w:rsidP="004F5761">
      <w:pPr>
        <w:spacing w:line="276" w:lineRule="auto"/>
        <w:jc w:val="lowKashida"/>
      </w:pPr>
      <w:r>
        <w:t>For the CEO, the benefits of the platform would be a more effective way of connecting the Board to management. Management could prepare for the meeting by checking the management documents for missing decision data, unclear resolution language, misplaced approval requests and prior decisions relevant to current decisions. At the time of the meeting, management can focus on substantive issues at hand, while the Board members do not have to remember procedural requirements or look up them during the meeting. Once the meeting is complete, all decisions will be returned to management in an actionable manner including who is responsible for each action item, when they are due and what the background or context is. However, there is also a cultural risk associated with this type of process which is that it will be perceived as surveillance by management. This risk could be mitigated if the CEO was involved in defining how the action tracker format, escalation thresholds, boundaries of confidential information and dashboards are viewed by management.</w:t>
      </w:r>
    </w:p>
    <w:p w14:paraId="345C5749" w14:textId="77777777" w:rsidR="00BA232D" w:rsidRDefault="00000000" w:rsidP="004F5761">
      <w:pPr>
        <w:pStyle w:val="Heading3"/>
        <w:spacing w:after="60"/>
        <w:jc w:val="lowKashida"/>
      </w:pPr>
      <w:bookmarkStart w:id="52" w:name="_Toc234699822"/>
      <w:bookmarkStart w:id="53" w:name="_Toc234702424"/>
      <w:r>
        <w:rPr>
          <w:rFonts w:ascii="Arial" w:eastAsia="Arial" w:hAnsi="Arial"/>
        </w:rPr>
        <w:t>PCAD vantage point as guardian of good corporate governance</w:t>
      </w:r>
      <w:bookmarkEnd w:id="52"/>
      <w:bookmarkEnd w:id="53"/>
    </w:p>
    <w:p w14:paraId="558D4BE2" w14:textId="77777777" w:rsidR="00BA232D" w:rsidRDefault="00000000" w:rsidP="004F5761">
      <w:pPr>
        <w:spacing w:line="276" w:lineRule="auto"/>
        <w:jc w:val="lowKashida"/>
      </w:pPr>
      <w:r>
        <w:t>For PCAD, this strategy is significant for three reasons: First, as a guardian of good corporate governance in respect of the companies within the PIF Portfolio, PCAD is not just a sponsor of a digital tool. Second, Secretariat-in-a-Box allows PCAD to practically apply minimum governance standards regarding the content of agendas, minutes, action registers, authority checks, handovers and Board pack quality at each company while retaining the level of accountability required by that company. Third, the correct PCAD model is federated assurance (not central surveillance) where each company retains ownership of their deployment, documentation, user access and official records.</w:t>
      </w:r>
    </w:p>
    <w:p w14:paraId="28A4F811" w14:textId="77777777" w:rsidR="00BA232D" w:rsidRDefault="00000000" w:rsidP="004F5761">
      <w:pPr>
        <w:pStyle w:val="Heading3"/>
        <w:spacing w:after="60"/>
        <w:jc w:val="lowKashida"/>
      </w:pPr>
      <w:bookmarkStart w:id="54" w:name="_Toc234699823"/>
      <w:bookmarkStart w:id="55" w:name="_Toc234702425"/>
      <w:r>
        <w:rPr>
          <w:rFonts w:ascii="Arial" w:eastAsia="Arial" w:hAnsi="Arial"/>
        </w:rPr>
        <w:t>Implication for the proposal</w:t>
      </w:r>
      <w:bookmarkEnd w:id="54"/>
      <w:bookmarkEnd w:id="55"/>
    </w:p>
    <w:p w14:paraId="5BCD6B48" w14:textId="77777777" w:rsidR="00BA232D" w:rsidRDefault="00000000" w:rsidP="004F5761">
      <w:pPr>
        <w:spacing w:line="276" w:lineRule="auto"/>
        <w:jc w:val="lowKashida"/>
      </w:pPr>
      <w:r>
        <w:t xml:space="preserve">These viewpoints reinforce the capstone because they compare the functionality of the platform to a working boardroom environment as opposed to just comparing the function of the platform to the secretary's workflow. The secretary could find value in using the tool to save time. The chairperson would have to find value in the tool that enhances their ability to make judgements and improve their </w:t>
      </w:r>
      <w:r>
        <w:lastRenderedPageBreak/>
        <w:t>management of meetings. The CEO will only use the tool if it provides an improvement to service quality without establishing covert oversight. The Board will only use the tool if it provides better governance over portfolios without encroaching on the operations area of the organisation.</w:t>
      </w:r>
    </w:p>
    <w:p w14:paraId="72999174" w14:textId="77777777" w:rsidR="00BA232D" w:rsidRDefault="00000000" w:rsidP="004F5761">
      <w:pPr>
        <w:spacing w:line="276" w:lineRule="auto"/>
        <w:jc w:val="lowKashida"/>
      </w:pPr>
      <w:r>
        <w:t>In parallel with the development of the platform, consideration should be given to the development of capabilities for the Board secretaries.  This could be in form of an awareness styled session to train users in the skills of challenging the system, checking citations, handling exception requests, escalating authority issues and reviewing draft meeting minutes. In addition to training, adoption will depend upon motivation. People are likely to adopt a new way of working if they have an opportunity to try the tool out in a low-risk environment and see that it has value. Thus, the rollout of such a tool should allow secretaries to test the tool first using lower risk tasks to identify the potential benefits prior to mandating its use (Cable, 2018). The aim is to have a human-cantered approach supported by AI grounded in local documents and corporate history.</w:t>
      </w:r>
    </w:p>
    <w:p w14:paraId="4203E937" w14:textId="77777777" w:rsidR="004F5761" w:rsidRDefault="004F5761">
      <w:pPr>
        <w:spacing w:after="0" w:line="240" w:lineRule="auto"/>
        <w:rPr>
          <w:rFonts w:cstheme="majorBidi"/>
          <w:b/>
          <w:bCs/>
          <w:color w:val="1F4E79"/>
          <w:sz w:val="32"/>
          <w:szCs w:val="28"/>
        </w:rPr>
      </w:pPr>
      <w:bookmarkStart w:id="56" w:name="_Toc234699824"/>
      <w:r>
        <w:br w:type="page"/>
      </w:r>
    </w:p>
    <w:p w14:paraId="086E095A" w14:textId="38FC4C32" w:rsidR="00BA232D" w:rsidRDefault="00000000" w:rsidP="004F5761">
      <w:pPr>
        <w:pStyle w:val="Heading1"/>
        <w:spacing w:before="280" w:after="120"/>
        <w:jc w:val="lowKashida"/>
      </w:pPr>
      <w:bookmarkStart w:id="57" w:name="_Toc234702426"/>
      <w:r>
        <w:rPr>
          <w:rFonts w:ascii="Arial" w:eastAsia="Arial" w:hAnsi="Arial"/>
        </w:rPr>
        <w:lastRenderedPageBreak/>
        <w:t>9. Sustainability, Good Practice and Post-Covid Resilience</w:t>
      </w:r>
      <w:bookmarkEnd w:id="56"/>
      <w:bookmarkEnd w:id="57"/>
    </w:p>
    <w:p w14:paraId="00697F11" w14:textId="77777777" w:rsidR="00BA232D" w:rsidRDefault="00000000" w:rsidP="004F5761">
      <w:pPr>
        <w:spacing w:line="276" w:lineRule="auto"/>
        <w:jc w:val="lowKashida"/>
      </w:pPr>
      <w:r>
        <w:t xml:space="preserve">The proposed solution should embed the necessary elements of sustainability and leading practices. Secretariat-in-a-Box provides support for resiliency by reducing the need for a physical presence, memory and informal continuities at the level of the individual. For example, if a </w:t>
      </w:r>
      <w:proofErr w:type="gramStart"/>
      <w:r>
        <w:t>Chairperson</w:t>
      </w:r>
      <w:proofErr w:type="gramEnd"/>
      <w:r>
        <w:t xml:space="preserve"> needed to reference an urgent prior decision document trail the company would not need to go back through emails and personal file to try to find that information again. In essence the platform will provide the Board with a better lasting form of governance history.</w:t>
      </w:r>
    </w:p>
    <w:p w14:paraId="6A3C5995" w14:textId="77777777" w:rsidR="00BA232D" w:rsidRDefault="00000000" w:rsidP="004F5761">
      <w:pPr>
        <w:spacing w:line="276" w:lineRule="auto"/>
        <w:jc w:val="lowKashida"/>
      </w:pPr>
      <w:r>
        <w:t xml:space="preserve">Post-Covid board work also emphasises the need to increase speed while maintaining control. </w:t>
      </w:r>
      <w:proofErr w:type="spellStart"/>
      <w:r>
        <w:t>Furstenthal</w:t>
      </w:r>
      <w:proofErr w:type="spellEnd"/>
      <w:r>
        <w:t xml:space="preserve"> et al. (2021) argue through their crisis innovation work at McKinsey, that a crisis can facilitate faster innovation when leaders redirect focus toward the future, are flexible and use outcome-based measures as opposed to activity based. The proposal replaces the manual process of tracking with an action-oriented process, the memory of past events is replaced by a source-based method for retrieving historical data and the haphazard nature of handing over responsibilities is replaced with a structured approach to ensuring continuity.</w:t>
      </w:r>
    </w:p>
    <w:p w14:paraId="2845A1FE" w14:textId="77777777" w:rsidR="00BA232D" w:rsidRDefault="00000000" w:rsidP="004F5761">
      <w:pPr>
        <w:spacing w:line="276" w:lineRule="auto"/>
        <w:jc w:val="lowKashida"/>
      </w:pPr>
      <w:r>
        <w:t>A locally run AI model does not mean that it will be run in an environmentally friendly way. Any time information is created or stored (e.g., model outputs, document content, history of generated content), power is consumed. Designing with sustainability means limiting the amount of unnecessary computation. For example, retrieval algorithm will be preferred over generative wherever possible. The computing power will also be aligned with the model size being utilised. The aim is not to claim that the platform will be environmentally friendly but to ensure that resources are appropriately utilised.</w:t>
      </w:r>
    </w:p>
    <w:p w14:paraId="12644E9D" w14:textId="77777777" w:rsidR="00BA232D" w:rsidRDefault="00000000" w:rsidP="004F5761">
      <w:pPr>
        <w:spacing w:line="276" w:lineRule="auto"/>
        <w:jc w:val="lowKashida"/>
      </w:pPr>
      <w:r>
        <w:t>The leading practice approach has another important aspect of its governance role. By providing links to clause source material, it provides greater transparency. The use of the platform increases the level of accountability to the secretary and Chairperson as they are included in the approval process. Transparency and accountability are further improved due to the elimination of the performance disparity when there is an experienced versus inexperienced secretary. In addition to improving transparency and accountability, the platform can contribute to organisational learning, since the recurring issue will be turned into a library of reusable rules, training points, or improvements to the document body. This aligns with OECD's (2023) recommendations for a governing environment which facilitates informed, accountable and transparent decision making.</w:t>
      </w:r>
    </w:p>
    <w:p w14:paraId="2D289F7F" w14:textId="77777777" w:rsidR="00BA232D" w:rsidRDefault="00BA232D">
      <w:pPr>
        <w:spacing w:after="200" w:line="276" w:lineRule="auto"/>
        <w:rPr>
          <w:rFonts w:cstheme="majorBidi"/>
          <w:b/>
          <w:bCs/>
          <w:color w:val="1F4E79"/>
          <w:sz w:val="32"/>
          <w:szCs w:val="28"/>
        </w:rPr>
      </w:pPr>
    </w:p>
    <w:p w14:paraId="20374E68" w14:textId="77777777" w:rsidR="004F5761" w:rsidRDefault="004F5761">
      <w:pPr>
        <w:spacing w:after="0" w:line="240" w:lineRule="auto"/>
        <w:rPr>
          <w:rFonts w:cstheme="majorBidi"/>
          <w:b/>
          <w:bCs/>
          <w:color w:val="1F4E79"/>
          <w:sz w:val="32"/>
          <w:szCs w:val="28"/>
        </w:rPr>
      </w:pPr>
      <w:bookmarkStart w:id="58" w:name="_Toc234699825"/>
      <w:r>
        <w:br w:type="page"/>
      </w:r>
    </w:p>
    <w:p w14:paraId="0A7BA966" w14:textId="2B16AEA9" w:rsidR="00BA232D" w:rsidRDefault="00000000">
      <w:pPr>
        <w:pStyle w:val="Heading1"/>
        <w:spacing w:before="280" w:after="120"/>
      </w:pPr>
      <w:bookmarkStart w:id="59" w:name="_Toc234702427"/>
      <w:r>
        <w:rPr>
          <w:rFonts w:ascii="Arial" w:eastAsia="Arial" w:hAnsi="Arial"/>
        </w:rPr>
        <w:lastRenderedPageBreak/>
        <w:t>10. Critical Evaluation and Reflection</w:t>
      </w:r>
      <w:bookmarkEnd w:id="58"/>
      <w:bookmarkEnd w:id="59"/>
    </w:p>
    <w:p w14:paraId="451E74DD" w14:textId="77777777" w:rsidR="00BA232D" w:rsidRDefault="00000000" w:rsidP="004F5761">
      <w:pPr>
        <w:spacing w:line="276" w:lineRule="auto"/>
        <w:jc w:val="lowKashida"/>
      </w:pPr>
      <w:r>
        <w:t>While this proposal offers the strongest support to improve governance standards throughout the industry, it represents the largest threat of failure by creating an environment in which governance judgement will occur. As such, if it is successful, it can have a positive impact on uplifting companies' standards. However, if poorly developed, it may give a company unwarranted confidence in what they are doing in a very sensitive area. Therefore, I do not provide the proposal as a complete solution. This is a controlled capstone proposal and should be tested using evidence.</w:t>
      </w:r>
    </w:p>
    <w:p w14:paraId="3C760EB6" w14:textId="77777777" w:rsidR="00BA232D" w:rsidRDefault="00000000" w:rsidP="004F5761">
      <w:pPr>
        <w:spacing w:line="276" w:lineRule="auto"/>
        <w:jc w:val="lowKashida"/>
      </w:pPr>
      <w:r>
        <w:t xml:space="preserve">The proposal contains five major limitations of this proposed solution. </w:t>
      </w:r>
    </w:p>
    <w:p w14:paraId="181F4073" w14:textId="77777777" w:rsidR="00BA232D" w:rsidRDefault="00000000" w:rsidP="004F5761">
      <w:pPr>
        <w:pStyle w:val="ListParagraph"/>
        <w:numPr>
          <w:ilvl w:val="0"/>
          <w:numId w:val="10"/>
        </w:numPr>
        <w:spacing w:line="276" w:lineRule="auto"/>
        <w:jc w:val="lowKashida"/>
      </w:pPr>
      <w:r>
        <w:t xml:space="preserve">The proposal is built from both practice-based evidence as well as concept development; not from an active, operational deployment of the system. </w:t>
      </w:r>
    </w:p>
    <w:p w14:paraId="01F83793" w14:textId="77777777" w:rsidR="00BA232D" w:rsidRDefault="00000000" w:rsidP="004F5761">
      <w:pPr>
        <w:pStyle w:val="ListParagraph"/>
        <w:numPr>
          <w:ilvl w:val="0"/>
          <w:numId w:val="10"/>
        </w:numPr>
        <w:spacing w:line="276" w:lineRule="auto"/>
        <w:jc w:val="lowKashida"/>
      </w:pPr>
      <w:r>
        <w:t xml:space="preserve">The proposals' assumption is that all portfolio companies possess sufficient and appropriately managed governance documentation. This may not be true for many. </w:t>
      </w:r>
    </w:p>
    <w:p w14:paraId="2A78B3EE" w14:textId="77777777" w:rsidR="00BA232D" w:rsidRDefault="00000000" w:rsidP="004F5761">
      <w:pPr>
        <w:pStyle w:val="ListParagraph"/>
        <w:numPr>
          <w:ilvl w:val="0"/>
          <w:numId w:val="10"/>
        </w:numPr>
        <w:spacing w:line="276" w:lineRule="auto"/>
        <w:jc w:val="lowKashida"/>
      </w:pPr>
      <w:r>
        <w:t xml:space="preserve">There are several areas where cross-functional collaboration (PCAD, Legal, Digital, Data Governance &amp; Cybersecurity) will be required to successfully implement the solutions. </w:t>
      </w:r>
    </w:p>
    <w:p w14:paraId="739B8DC6" w14:textId="77777777" w:rsidR="00BA232D" w:rsidRDefault="00000000" w:rsidP="004F5761">
      <w:pPr>
        <w:pStyle w:val="ListParagraph"/>
        <w:numPr>
          <w:ilvl w:val="0"/>
          <w:numId w:val="10"/>
        </w:numPr>
        <w:spacing w:line="276" w:lineRule="auto"/>
        <w:jc w:val="lowKashida"/>
      </w:pPr>
      <w:r>
        <w:t xml:space="preserve">User trust cannot be forced upon through senior leadership; trust will need to be developed over time as each user demonstrates safe usage behaviour. </w:t>
      </w:r>
    </w:p>
    <w:p w14:paraId="319ACD62" w14:textId="77777777" w:rsidR="00BA232D" w:rsidRDefault="00000000" w:rsidP="004F5761">
      <w:pPr>
        <w:pStyle w:val="ListParagraph"/>
        <w:numPr>
          <w:ilvl w:val="0"/>
          <w:numId w:val="10"/>
        </w:numPr>
        <w:spacing w:line="276" w:lineRule="auto"/>
        <w:jc w:val="lowKashida"/>
      </w:pPr>
      <w:r>
        <w:t>With how fast the technology space continues to evolve; therefore, model selection should never be 'hardcoded' into the strategy.</w:t>
      </w:r>
    </w:p>
    <w:p w14:paraId="1AC5E42C" w14:textId="77777777" w:rsidR="00BA232D" w:rsidRDefault="00000000" w:rsidP="004F5761">
      <w:pPr>
        <w:spacing w:line="276" w:lineRule="auto"/>
        <w:jc w:val="lowKashida"/>
      </w:pPr>
      <w:r>
        <w:t>These limitations help in setting the claim boundary for the proposal. it is reasonable to claim that "Secretariat-in-a-Box" is an innovative and strategic realignment of the secretariat function. However, we cannot make the claim regarding improved governance outcomes at this time; that claim will be made after the results from the pilot are completed.</w:t>
      </w:r>
    </w:p>
    <w:p w14:paraId="34CF2EF9" w14:textId="77777777" w:rsidR="00BA232D" w:rsidRDefault="00000000" w:rsidP="004F5761">
      <w:pPr>
        <w:spacing w:line="276" w:lineRule="auto"/>
        <w:jc w:val="lowKashida"/>
      </w:pPr>
      <w:r>
        <w:t>In addition to developing my skills and knowledge through this project I have also developed as a leader. Early on in both my previous roles and in my current one, I was generally content with being able to identify and fix difficult problems quickly. The Doctoral Portfolio has encouraged me to view a different measure of leadership, specifically if others are able to utilise, ask questions about and improve upon the method. Therefore, the Secretariat-in-a-Box proposal is not simply a technological solution but represents a personal shift in my leadership style; transitioning from using my expertise as an expert intervener to building systems.</w:t>
      </w:r>
    </w:p>
    <w:p w14:paraId="0B49C8C6" w14:textId="77777777" w:rsidR="00BA232D" w:rsidRDefault="00000000" w:rsidP="004F5761">
      <w:pPr>
        <w:spacing w:line="276" w:lineRule="auto"/>
        <w:jc w:val="lowKashida"/>
      </w:pPr>
      <w:r>
        <w:t>This type of leadership change affects how I plan to work going forward. In the past, I would demonstrate value (and success) by creating the best possible Board packs or decision notes myself. Moving forward, providing documentation of the process, coaching another individual to replicate it and designing the routine systems for ensuring high levels of governance quality exist regardless of my presence are the more valuable contributions. Therefore, I plan to evaluate my performance based less on the products I create and more on whether the capability exists after I am gone, and I will consider the intentional transfer of tacit methods as a central part of my leadership responsibilities rather than an option for future reference.</w:t>
      </w:r>
    </w:p>
    <w:p w14:paraId="28A7FDE4" w14:textId="77777777" w:rsidR="00BA232D" w:rsidRDefault="00BA232D">
      <w:pPr>
        <w:spacing w:after="200" w:line="276" w:lineRule="auto"/>
        <w:rPr>
          <w:rFonts w:cstheme="majorBidi"/>
          <w:b/>
          <w:bCs/>
          <w:color w:val="1F4E79"/>
          <w:sz w:val="32"/>
          <w:szCs w:val="28"/>
        </w:rPr>
      </w:pPr>
    </w:p>
    <w:p w14:paraId="7AE1C560" w14:textId="77777777" w:rsidR="004F5761" w:rsidRDefault="004F5761">
      <w:pPr>
        <w:spacing w:after="0" w:line="240" w:lineRule="auto"/>
        <w:rPr>
          <w:rFonts w:cstheme="majorBidi"/>
          <w:b/>
          <w:bCs/>
          <w:color w:val="1F4E79"/>
          <w:sz w:val="32"/>
          <w:szCs w:val="28"/>
        </w:rPr>
      </w:pPr>
      <w:bookmarkStart w:id="60" w:name="_Toc234699826"/>
      <w:r>
        <w:br w:type="page"/>
      </w:r>
    </w:p>
    <w:p w14:paraId="4FC3E2E0" w14:textId="04C7AA6D" w:rsidR="00BA232D" w:rsidRDefault="00000000">
      <w:pPr>
        <w:pStyle w:val="Heading1"/>
        <w:spacing w:before="280" w:after="120"/>
      </w:pPr>
      <w:bookmarkStart w:id="61" w:name="_Toc234702428"/>
      <w:r>
        <w:rPr>
          <w:rFonts w:ascii="Arial" w:eastAsia="Arial" w:hAnsi="Arial"/>
        </w:rPr>
        <w:lastRenderedPageBreak/>
        <w:t>11. Critical-Friend and Stakeholder Feedback</w:t>
      </w:r>
      <w:bookmarkEnd w:id="60"/>
      <w:bookmarkEnd w:id="61"/>
    </w:p>
    <w:p w14:paraId="28E39D6B" w14:textId="77777777" w:rsidR="00BA232D" w:rsidRDefault="00000000" w:rsidP="004F5761">
      <w:pPr>
        <w:spacing w:line="276" w:lineRule="auto"/>
        <w:jc w:val="lowKashida"/>
      </w:pPr>
      <w:r>
        <w:t>The key stakeholders for the use of the platform are the Board secretaries and Chairpersons of portfolio companies. An initial set of positive feedback was obtained based on the concept and initial product specifications shared with them. This feedback can only be considered as a genuine interest in the platform but do constitute acceptance.</w:t>
      </w:r>
    </w:p>
    <w:p w14:paraId="3F1AD6E1" w14:textId="77777777" w:rsidR="00BA232D" w:rsidRDefault="00000000" w:rsidP="004F5761">
      <w:pPr>
        <w:spacing w:line="276" w:lineRule="auto"/>
        <w:jc w:val="lowKashida"/>
      </w:pPr>
      <w:r>
        <w:t>A tool people are willing to discuss does not yet equate to a tool that they will rely on during a real-time meeting. I have intentionally framed this first round as being limited. Although it did identify the main user group (the primary stakeholders), it did not represent all aspects of the governance ecosystem. Furthermore, it is probable that some of the most significant issues related to the legal and compliance teams, digital and cyber security teams, risk and data governance teams, whose concerns regarding what constitutes appropriate advisory guidance; how data moves through systems; and the inherent risks associated with models will guide the development of this product as compared to simply reacting to the recommendations developed here. Therefore, a formally structured second round engagement with each function, convened during Phase 0, has been included within this recommendation. Furthermore, I see their eventual constructive scepticism as a positive validation rather than an issue to be managed.</w:t>
      </w:r>
    </w:p>
    <w:p w14:paraId="03B25ABF" w14:textId="77777777" w:rsidR="00BA232D" w:rsidRDefault="00000000">
      <w:pPr>
        <w:pStyle w:val="Caption"/>
        <w:spacing w:before="120" w:after="40"/>
      </w:pPr>
      <w:r>
        <w:t>Table 11. Summary of stakeholder feedback and implications.</w:t>
      </w:r>
    </w:p>
    <w:tbl>
      <w:tblPr>
        <w:tblStyle w:val="TableGrid"/>
        <w:tblW w:w="9736" w:type="dxa"/>
        <w:jc w:val="center"/>
        <w:tblLayout w:type="fixed"/>
        <w:tblLook w:val="04A0" w:firstRow="1" w:lastRow="0" w:firstColumn="1" w:lastColumn="0" w:noHBand="0" w:noVBand="1"/>
      </w:tblPr>
      <w:tblGrid>
        <w:gridCol w:w="2131"/>
        <w:gridCol w:w="3942"/>
        <w:gridCol w:w="3663"/>
      </w:tblGrid>
      <w:tr w:rsidR="00BA232D" w14:paraId="5B0EEC3F" w14:textId="77777777">
        <w:trPr>
          <w:cantSplit/>
          <w:tblHeader/>
          <w:jc w:val="center"/>
        </w:trPr>
        <w:tc>
          <w:tcPr>
            <w:tcW w:w="2131" w:type="dxa"/>
            <w:shd w:val="clear" w:color="auto" w:fill="1F4E79"/>
          </w:tcPr>
          <w:p w14:paraId="6C4FFF2A" w14:textId="77777777" w:rsidR="00BA232D" w:rsidRDefault="00000000">
            <w:pPr>
              <w:spacing w:after="40" w:line="240" w:lineRule="auto"/>
              <w:rPr>
                <w:rFonts w:cs="Arial"/>
              </w:rPr>
            </w:pPr>
            <w:r>
              <w:rPr>
                <w:rFonts w:cs="Arial"/>
                <w:b/>
                <w:color w:val="FFFFFF"/>
                <w:sz w:val="17"/>
              </w:rPr>
              <w:t>Feedback theme</w:t>
            </w:r>
          </w:p>
        </w:tc>
        <w:tc>
          <w:tcPr>
            <w:tcW w:w="3942" w:type="dxa"/>
            <w:shd w:val="clear" w:color="auto" w:fill="1F4E79"/>
          </w:tcPr>
          <w:p w14:paraId="53FCEDC9" w14:textId="77777777" w:rsidR="00BA232D" w:rsidRDefault="00000000">
            <w:pPr>
              <w:spacing w:after="40" w:line="240" w:lineRule="auto"/>
              <w:rPr>
                <w:rFonts w:cs="Arial"/>
              </w:rPr>
            </w:pPr>
            <w:r>
              <w:rPr>
                <w:rFonts w:cs="Arial"/>
                <w:b/>
                <w:color w:val="FFFFFF"/>
                <w:sz w:val="17"/>
              </w:rPr>
              <w:t>What stakeholders valued</w:t>
            </w:r>
          </w:p>
        </w:tc>
        <w:tc>
          <w:tcPr>
            <w:tcW w:w="3663" w:type="dxa"/>
            <w:shd w:val="clear" w:color="auto" w:fill="1F4E79"/>
          </w:tcPr>
          <w:p w14:paraId="293B17DB" w14:textId="77777777" w:rsidR="00BA232D" w:rsidRDefault="00000000">
            <w:pPr>
              <w:spacing w:after="40" w:line="240" w:lineRule="auto"/>
              <w:rPr>
                <w:rFonts w:cs="Arial"/>
              </w:rPr>
            </w:pPr>
            <w:r>
              <w:rPr>
                <w:rFonts w:cs="Arial"/>
                <w:b/>
                <w:color w:val="FFFFFF"/>
                <w:sz w:val="17"/>
              </w:rPr>
              <w:t>Concern or condition</w:t>
            </w:r>
          </w:p>
        </w:tc>
      </w:tr>
      <w:tr w:rsidR="00BA232D" w14:paraId="09A5F632" w14:textId="77777777">
        <w:trPr>
          <w:cantSplit/>
          <w:jc w:val="center"/>
        </w:trPr>
        <w:tc>
          <w:tcPr>
            <w:tcW w:w="2131" w:type="dxa"/>
          </w:tcPr>
          <w:p w14:paraId="668A15DC" w14:textId="77777777" w:rsidR="00BA232D" w:rsidRDefault="00000000">
            <w:pPr>
              <w:spacing w:after="40" w:line="240" w:lineRule="auto"/>
              <w:rPr>
                <w:rFonts w:cs="Arial"/>
              </w:rPr>
            </w:pPr>
            <w:r>
              <w:rPr>
                <w:rFonts w:cs="Arial"/>
                <w:sz w:val="17"/>
              </w:rPr>
              <w:t>Problem recognition</w:t>
            </w:r>
          </w:p>
        </w:tc>
        <w:tc>
          <w:tcPr>
            <w:tcW w:w="3942" w:type="dxa"/>
          </w:tcPr>
          <w:p w14:paraId="5A75851E" w14:textId="77777777" w:rsidR="00BA232D" w:rsidRDefault="00000000">
            <w:pPr>
              <w:spacing w:after="40" w:line="240" w:lineRule="auto"/>
              <w:rPr>
                <w:rFonts w:cs="Arial"/>
              </w:rPr>
            </w:pPr>
            <w:r>
              <w:rPr>
                <w:rFonts w:cs="Arial"/>
                <w:sz w:val="17"/>
              </w:rPr>
              <w:t>They recognised lost actions, weak handover and dependence on individual recall as real issues.</w:t>
            </w:r>
          </w:p>
        </w:tc>
        <w:tc>
          <w:tcPr>
            <w:tcW w:w="3663" w:type="dxa"/>
          </w:tcPr>
          <w:p w14:paraId="6980B4D3" w14:textId="77777777" w:rsidR="00BA232D" w:rsidRDefault="00000000">
            <w:pPr>
              <w:spacing w:after="40" w:line="240" w:lineRule="auto"/>
              <w:rPr>
                <w:rFonts w:cs="Arial"/>
              </w:rPr>
            </w:pPr>
            <w:r>
              <w:rPr>
                <w:rFonts w:cs="Arial"/>
                <w:sz w:val="17"/>
              </w:rPr>
              <w:t>They wanted assurance that the tool would not imply that secretaries lack competence.</w:t>
            </w:r>
          </w:p>
        </w:tc>
      </w:tr>
      <w:tr w:rsidR="00BA232D" w14:paraId="3CB49322" w14:textId="77777777">
        <w:trPr>
          <w:cantSplit/>
          <w:jc w:val="center"/>
        </w:trPr>
        <w:tc>
          <w:tcPr>
            <w:tcW w:w="2131" w:type="dxa"/>
            <w:shd w:val="clear" w:color="auto" w:fill="EAF1F7"/>
          </w:tcPr>
          <w:p w14:paraId="3EE29316" w14:textId="77777777" w:rsidR="00BA232D" w:rsidRDefault="00000000">
            <w:pPr>
              <w:spacing w:after="40" w:line="240" w:lineRule="auto"/>
              <w:rPr>
                <w:rFonts w:cs="Arial"/>
              </w:rPr>
            </w:pPr>
            <w:r>
              <w:rPr>
                <w:rFonts w:cs="Arial"/>
                <w:sz w:val="17"/>
              </w:rPr>
              <w:t>Local deployment</w:t>
            </w:r>
          </w:p>
        </w:tc>
        <w:tc>
          <w:tcPr>
            <w:tcW w:w="3942" w:type="dxa"/>
            <w:shd w:val="clear" w:color="auto" w:fill="EAF1F7"/>
          </w:tcPr>
          <w:p w14:paraId="1531924E" w14:textId="77777777" w:rsidR="00BA232D" w:rsidRDefault="00000000">
            <w:pPr>
              <w:spacing w:after="40" w:line="240" w:lineRule="auto"/>
              <w:rPr>
                <w:rFonts w:cs="Arial"/>
              </w:rPr>
            </w:pPr>
            <w:r>
              <w:rPr>
                <w:rFonts w:cs="Arial"/>
                <w:sz w:val="17"/>
              </w:rPr>
              <w:t>Keeping Board and shareholder data inside the company's stack was seen as essential.</w:t>
            </w:r>
          </w:p>
        </w:tc>
        <w:tc>
          <w:tcPr>
            <w:tcW w:w="3663" w:type="dxa"/>
            <w:shd w:val="clear" w:color="auto" w:fill="EAF1F7"/>
          </w:tcPr>
          <w:p w14:paraId="29C66F9D" w14:textId="77777777" w:rsidR="00BA232D" w:rsidRDefault="00000000">
            <w:pPr>
              <w:spacing w:after="40" w:line="240" w:lineRule="auto"/>
              <w:rPr>
                <w:rFonts w:cs="Arial"/>
              </w:rPr>
            </w:pPr>
            <w:r>
              <w:rPr>
                <w:rFonts w:cs="Arial"/>
                <w:sz w:val="17"/>
              </w:rPr>
              <w:t>They asked how access, logs and confidentiality would be controlled.</w:t>
            </w:r>
          </w:p>
        </w:tc>
      </w:tr>
      <w:tr w:rsidR="00BA232D" w14:paraId="7FAAA451" w14:textId="77777777">
        <w:trPr>
          <w:cantSplit/>
          <w:jc w:val="center"/>
        </w:trPr>
        <w:tc>
          <w:tcPr>
            <w:tcW w:w="2131" w:type="dxa"/>
          </w:tcPr>
          <w:p w14:paraId="767D428F" w14:textId="77777777" w:rsidR="00BA232D" w:rsidRDefault="00000000">
            <w:pPr>
              <w:spacing w:after="40" w:line="240" w:lineRule="auto"/>
              <w:rPr>
                <w:rFonts w:cs="Arial"/>
              </w:rPr>
            </w:pPr>
            <w:r>
              <w:rPr>
                <w:rFonts w:cs="Arial"/>
                <w:sz w:val="17"/>
              </w:rPr>
              <w:t>Citation discipline</w:t>
            </w:r>
          </w:p>
        </w:tc>
        <w:tc>
          <w:tcPr>
            <w:tcW w:w="3942" w:type="dxa"/>
          </w:tcPr>
          <w:p w14:paraId="3E6F6588" w14:textId="77777777" w:rsidR="00BA232D" w:rsidRDefault="00000000">
            <w:pPr>
              <w:spacing w:after="40" w:line="240" w:lineRule="auto"/>
              <w:rPr>
                <w:rFonts w:cs="Arial"/>
              </w:rPr>
            </w:pPr>
            <w:r>
              <w:rPr>
                <w:rFonts w:cs="Arial"/>
                <w:sz w:val="17"/>
              </w:rPr>
              <w:t>Cited answers were seen as appropriate for quasi-legal governance work.</w:t>
            </w:r>
          </w:p>
        </w:tc>
        <w:tc>
          <w:tcPr>
            <w:tcW w:w="3663" w:type="dxa"/>
          </w:tcPr>
          <w:p w14:paraId="5296D65E" w14:textId="77777777" w:rsidR="00BA232D" w:rsidRDefault="00000000">
            <w:pPr>
              <w:spacing w:after="40" w:line="240" w:lineRule="auto"/>
              <w:rPr>
                <w:rFonts w:cs="Arial"/>
              </w:rPr>
            </w:pPr>
            <w:r>
              <w:rPr>
                <w:rFonts w:cs="Arial"/>
                <w:sz w:val="17"/>
              </w:rPr>
              <w:t>They would not rely on uncited or generic AI answers.</w:t>
            </w:r>
          </w:p>
        </w:tc>
      </w:tr>
      <w:tr w:rsidR="00BA232D" w14:paraId="1407088B" w14:textId="77777777">
        <w:trPr>
          <w:cantSplit/>
          <w:jc w:val="center"/>
        </w:trPr>
        <w:tc>
          <w:tcPr>
            <w:tcW w:w="2131" w:type="dxa"/>
            <w:shd w:val="clear" w:color="auto" w:fill="EAF1F7"/>
          </w:tcPr>
          <w:p w14:paraId="506EC544" w14:textId="77777777" w:rsidR="00BA232D" w:rsidRDefault="00000000">
            <w:pPr>
              <w:spacing w:after="40" w:line="240" w:lineRule="auto"/>
              <w:rPr>
                <w:rFonts w:cs="Arial"/>
              </w:rPr>
            </w:pPr>
            <w:r>
              <w:rPr>
                <w:rFonts w:cs="Arial"/>
                <w:sz w:val="17"/>
              </w:rPr>
              <w:t>Action tracker</w:t>
            </w:r>
          </w:p>
        </w:tc>
        <w:tc>
          <w:tcPr>
            <w:tcW w:w="3942" w:type="dxa"/>
            <w:shd w:val="clear" w:color="auto" w:fill="EAF1F7"/>
          </w:tcPr>
          <w:p w14:paraId="449295B3" w14:textId="77777777" w:rsidR="00BA232D" w:rsidRDefault="00000000">
            <w:pPr>
              <w:spacing w:after="40" w:line="240" w:lineRule="auto"/>
              <w:rPr>
                <w:rFonts w:cs="Arial"/>
              </w:rPr>
            </w:pPr>
            <w:r>
              <w:rPr>
                <w:rFonts w:cs="Arial"/>
                <w:sz w:val="17"/>
              </w:rPr>
              <w:t>This was seen as the most practical and immediate value case.</w:t>
            </w:r>
          </w:p>
        </w:tc>
        <w:tc>
          <w:tcPr>
            <w:tcW w:w="3663" w:type="dxa"/>
            <w:shd w:val="clear" w:color="auto" w:fill="EAF1F7"/>
          </w:tcPr>
          <w:p w14:paraId="4685BF41" w14:textId="77777777" w:rsidR="00BA232D" w:rsidRDefault="00000000">
            <w:pPr>
              <w:spacing w:after="40" w:line="240" w:lineRule="auto"/>
              <w:rPr>
                <w:rFonts w:cs="Arial"/>
              </w:rPr>
            </w:pPr>
            <w:r>
              <w:rPr>
                <w:rFonts w:cs="Arial"/>
                <w:sz w:val="17"/>
              </w:rPr>
              <w:t>They preferred starting here before moving into live advisory support.</w:t>
            </w:r>
          </w:p>
        </w:tc>
      </w:tr>
      <w:tr w:rsidR="00BA232D" w14:paraId="0F6C7CA5" w14:textId="77777777">
        <w:trPr>
          <w:cantSplit/>
          <w:jc w:val="center"/>
        </w:trPr>
        <w:tc>
          <w:tcPr>
            <w:tcW w:w="2131" w:type="dxa"/>
          </w:tcPr>
          <w:p w14:paraId="6CDF6D7F" w14:textId="77777777" w:rsidR="00BA232D" w:rsidRDefault="00000000">
            <w:pPr>
              <w:spacing w:after="40" w:line="240" w:lineRule="auto"/>
              <w:rPr>
                <w:rFonts w:cs="Arial"/>
              </w:rPr>
            </w:pPr>
            <w:r>
              <w:rPr>
                <w:rFonts w:cs="Arial"/>
                <w:sz w:val="17"/>
              </w:rPr>
              <w:t>Human accountability</w:t>
            </w:r>
          </w:p>
        </w:tc>
        <w:tc>
          <w:tcPr>
            <w:tcW w:w="3942" w:type="dxa"/>
          </w:tcPr>
          <w:p w14:paraId="52789965" w14:textId="77777777" w:rsidR="00BA232D" w:rsidRDefault="00000000">
            <w:pPr>
              <w:spacing w:after="40" w:line="240" w:lineRule="auto"/>
              <w:rPr>
                <w:rFonts w:cs="Arial"/>
              </w:rPr>
            </w:pPr>
            <w:r>
              <w:rPr>
                <w:rFonts w:cs="Arial"/>
                <w:sz w:val="17"/>
              </w:rPr>
              <w:t>They accepted AI drafting if the secretary remained the accountable reviewer.</w:t>
            </w:r>
          </w:p>
        </w:tc>
        <w:tc>
          <w:tcPr>
            <w:tcW w:w="3663" w:type="dxa"/>
          </w:tcPr>
          <w:p w14:paraId="77A1A60F" w14:textId="77777777" w:rsidR="00BA232D" w:rsidRDefault="00000000">
            <w:pPr>
              <w:spacing w:after="40" w:line="240" w:lineRule="auto"/>
              <w:rPr>
                <w:rFonts w:cs="Arial"/>
              </w:rPr>
            </w:pPr>
            <w:r>
              <w:rPr>
                <w:rFonts w:cs="Arial"/>
                <w:sz w:val="17"/>
              </w:rPr>
              <w:t>They were clear that the tool cannot finalise minutes or give legal advice.</w:t>
            </w:r>
          </w:p>
        </w:tc>
      </w:tr>
    </w:tbl>
    <w:p w14:paraId="4FF68EB2" w14:textId="77777777" w:rsidR="00BA232D" w:rsidRDefault="00BA232D"/>
    <w:p w14:paraId="40CD2AD1" w14:textId="77777777" w:rsidR="00BA232D" w:rsidRDefault="00000000">
      <w:pPr>
        <w:pStyle w:val="Heading2"/>
        <w:spacing w:before="200"/>
      </w:pPr>
      <w:bookmarkStart w:id="62" w:name="_Toc234699827"/>
      <w:bookmarkStart w:id="63" w:name="_Toc234702429"/>
      <w:r>
        <w:rPr>
          <w:rFonts w:ascii="Arial" w:eastAsia="Arial" w:hAnsi="Arial"/>
        </w:rPr>
        <w:t>11.1 Changes made following review</w:t>
      </w:r>
      <w:bookmarkEnd w:id="62"/>
      <w:bookmarkEnd w:id="63"/>
    </w:p>
    <w:p w14:paraId="19F059D6" w14:textId="77777777" w:rsidR="00BA232D" w:rsidRDefault="00000000" w:rsidP="004F5761">
      <w:pPr>
        <w:pStyle w:val="ListBullet"/>
        <w:spacing w:line="276" w:lineRule="auto"/>
        <w:jc w:val="lowKashida"/>
      </w:pPr>
      <w:r>
        <w:t xml:space="preserve">The focus of MVP evolved from the original areas (action tracker, Q &amp; A, </w:t>
      </w:r>
      <w:proofErr w:type="spellStart"/>
      <w:r>
        <w:t>DoA</w:t>
      </w:r>
      <w:proofErr w:type="spellEnd"/>
      <w:r>
        <w:t xml:space="preserve"> checks, first-draft minutes, Decision Extraction) to incorporate Local Deployment, Data Isolation, Mandatory Citations for unknown responses, Human Sign Off and other design elements previously included under "reassurances".</w:t>
      </w:r>
    </w:p>
    <w:p w14:paraId="34B32C47" w14:textId="77777777" w:rsidR="00BA232D" w:rsidRDefault="00000000" w:rsidP="004F5761">
      <w:pPr>
        <w:pStyle w:val="ListBullet"/>
        <w:spacing w:line="276" w:lineRule="auto"/>
        <w:jc w:val="lowKashida"/>
      </w:pPr>
      <w:r>
        <w:t>Lower risk deployments will be initially implemented in visible use cases before applying live authority support in higher risk environments in accordance with the revised adoption plan.</w:t>
      </w:r>
    </w:p>
    <w:p w14:paraId="58B668D9" w14:textId="77777777" w:rsidR="00BA232D" w:rsidRDefault="00000000" w:rsidP="004F5761">
      <w:pPr>
        <w:pStyle w:val="ListBullet"/>
        <w:spacing w:line="276" w:lineRule="auto"/>
        <w:jc w:val="lowKashida"/>
      </w:pPr>
      <w:r>
        <w:t>Baseline and post-pilot evidence are required prior to making any claims regarding productivity or governance improvement according to the new evaluation model.</w:t>
      </w:r>
    </w:p>
    <w:p w14:paraId="68E12A7D" w14:textId="77777777" w:rsidR="00BA232D" w:rsidRDefault="00000000" w:rsidP="004F5761">
      <w:pPr>
        <w:pStyle w:val="ListBullet"/>
        <w:spacing w:line="276" w:lineRule="auto"/>
        <w:jc w:val="lowKashida"/>
      </w:pPr>
      <w:r>
        <w:t>There is an increased clarity within the Report as to what constitutes governance compatibility to ensure that the boundaries established by the provision of PCAD support do not encroach on the accountability of portfolio companies.</w:t>
      </w:r>
    </w:p>
    <w:p w14:paraId="2127FF90" w14:textId="77777777" w:rsidR="00BA232D" w:rsidRDefault="00000000" w:rsidP="004F5761">
      <w:pPr>
        <w:pStyle w:val="ListBullet"/>
        <w:spacing w:line="276" w:lineRule="auto"/>
        <w:jc w:val="lowKashida"/>
      </w:pPr>
      <w:r>
        <w:t>Legal and Compliance, Digital and Cybersecurity, Risk and Data Governance will conduct a structured second review of all design aspects during Phase 0 to provide input to shape the development before it occurs.</w:t>
      </w:r>
    </w:p>
    <w:p w14:paraId="1683FE59" w14:textId="77777777" w:rsidR="00BA232D" w:rsidRDefault="00000000">
      <w:pPr>
        <w:pStyle w:val="Heading2"/>
        <w:spacing w:before="200"/>
      </w:pPr>
      <w:bookmarkStart w:id="64" w:name="_Toc234699828"/>
      <w:bookmarkStart w:id="65" w:name="_Toc234702430"/>
      <w:r>
        <w:rPr>
          <w:rFonts w:ascii="Arial" w:eastAsia="Arial" w:hAnsi="Arial"/>
        </w:rPr>
        <w:t>11.2 Reflection on the feedback process</w:t>
      </w:r>
      <w:bookmarkEnd w:id="64"/>
      <w:bookmarkEnd w:id="65"/>
    </w:p>
    <w:p w14:paraId="60C1574D" w14:textId="77777777" w:rsidR="00BA232D" w:rsidRDefault="00000000" w:rsidP="004F5761">
      <w:pPr>
        <w:spacing w:line="276" w:lineRule="auto"/>
        <w:jc w:val="lowKashida"/>
      </w:pPr>
      <w:r>
        <w:t xml:space="preserve">The feedback helped strengthen my proposal by causing me to separate out what was an enthusiasm with what was a trust. Stakeholders were excited about the proposal; however, they identified areas of concern that ultimately will decide the level of adoption (i.e. confidentially, citation, signature off, </w:t>
      </w:r>
      <w:r>
        <w:lastRenderedPageBreak/>
        <w:t>and solving a simple action tracking issue prior to asking them to rely on something at a greater depth). I have developed a more disciplined final recommendation. My capstone is better than my previous one since it advocates for a first, smaller step rather than advocating for a larger technology.</w:t>
      </w:r>
    </w:p>
    <w:p w14:paraId="294F9641" w14:textId="77777777" w:rsidR="004F5761" w:rsidRDefault="004F5761">
      <w:pPr>
        <w:spacing w:after="0" w:line="240" w:lineRule="auto"/>
        <w:rPr>
          <w:rFonts w:cstheme="majorBidi"/>
          <w:b/>
          <w:bCs/>
          <w:color w:val="1F4E79"/>
          <w:sz w:val="32"/>
          <w:szCs w:val="28"/>
        </w:rPr>
      </w:pPr>
      <w:bookmarkStart w:id="66" w:name="_Toc234699829"/>
      <w:r>
        <w:br w:type="page"/>
      </w:r>
    </w:p>
    <w:p w14:paraId="743EFCF0" w14:textId="425DF367" w:rsidR="00BA232D" w:rsidRDefault="00000000">
      <w:pPr>
        <w:pStyle w:val="Heading1"/>
        <w:spacing w:before="280" w:after="120"/>
      </w:pPr>
      <w:bookmarkStart w:id="67" w:name="_Toc234702431"/>
      <w:r>
        <w:rPr>
          <w:rFonts w:ascii="Arial" w:eastAsia="Arial" w:hAnsi="Arial"/>
        </w:rPr>
        <w:lastRenderedPageBreak/>
        <w:t>12. Conclusion</w:t>
      </w:r>
      <w:bookmarkEnd w:id="66"/>
      <w:bookmarkEnd w:id="67"/>
    </w:p>
    <w:p w14:paraId="2F7A6678" w14:textId="77777777" w:rsidR="00BA232D" w:rsidRDefault="00000000" w:rsidP="004F5761">
      <w:pPr>
        <w:spacing w:line="276" w:lineRule="auto"/>
        <w:jc w:val="lowKashida"/>
      </w:pPr>
      <w:r>
        <w:t>Secretariat-in-a-Box is an approach to transform the Board secretariat as a locally deployable, document-based governance assurance mechanism. As such, it is disruptive in nature; the underlying principles upon which this function currently operates (i.e., reliance on expertise and judgement) are being replaced by a formalized methodology supported by documented corporate knowledge. Additionally, it is intentionally limited due to the risk associated with creating governance technology that exceeds the speed of trust.</w:t>
      </w:r>
    </w:p>
    <w:p w14:paraId="05B9D700" w14:textId="77777777" w:rsidR="00BA232D" w:rsidRDefault="00000000" w:rsidP="004F5761">
      <w:pPr>
        <w:spacing w:line="276" w:lineRule="auto"/>
        <w:jc w:val="lowKashida"/>
      </w:pPr>
      <w:r>
        <w:t>This proposal combines the strategic rationale articulated in Module 1 and the decision architecture outlined in Module 2. Module 1 identified the requirement for PCAD to evolve into a Portfolio Governance Platform. Module 2 provided a proportionate framework for transforming uncertain issues into discrete ownership decisions. This capstone applies all four components to the production phase of governance (agenda creation, preparation of Board packs, recording of meetings and actions taken).</w:t>
      </w:r>
    </w:p>
    <w:p w14:paraId="4579C077" w14:textId="77777777" w:rsidR="00BA232D" w:rsidRDefault="00000000" w:rsidP="004F5761">
      <w:pPr>
        <w:spacing w:line="276" w:lineRule="auto"/>
        <w:jc w:val="lowKashida"/>
      </w:pPr>
      <w:r>
        <w:t xml:space="preserve">It is recommended that a controlled pilot be conducted. The first build should include functionality focused on decision and action tracking, citation of governance-related Q&amp;A, </w:t>
      </w:r>
      <w:proofErr w:type="spellStart"/>
      <w:r>
        <w:t>DoA</w:t>
      </w:r>
      <w:proofErr w:type="spellEnd"/>
      <w:r>
        <w:t xml:space="preserve"> checks, first draft meeting records and decision extraction. The local implementation should be model-agnostic, accountable for its use of humans and governed by clear stage gate requirements. Only after measurable evidence has been gathered demonstrating that Secretariat-in-a-Box reduces rework, enhances the quality of Board records, improves the rate of action completion, supports preservation of corporate knowledge and gains user acceptance, can scaling occur. If successful, the quality of governance across the portfolio will cease to rely significantly on the longevity and recollection of a single individual. Such a success would represent a legitimate contribution to PCAD, to PIF's value realisation strategy and to professional practice.</w:t>
      </w:r>
    </w:p>
    <w:p w14:paraId="6AD9682C" w14:textId="77777777" w:rsidR="00BA232D" w:rsidRDefault="00BA232D"/>
    <w:p w14:paraId="640CA1F2" w14:textId="77777777" w:rsidR="004F5761" w:rsidRDefault="004F5761">
      <w:pPr>
        <w:spacing w:after="0" w:line="240" w:lineRule="auto"/>
        <w:rPr>
          <w:rFonts w:cstheme="majorBidi"/>
          <w:b/>
          <w:bCs/>
          <w:color w:val="1F4E79"/>
          <w:sz w:val="32"/>
          <w:szCs w:val="28"/>
        </w:rPr>
      </w:pPr>
      <w:bookmarkStart w:id="68" w:name="_Toc234699830"/>
      <w:r>
        <w:br w:type="page"/>
      </w:r>
    </w:p>
    <w:p w14:paraId="317E631C" w14:textId="6D43FB4D" w:rsidR="00BA232D" w:rsidRDefault="00000000">
      <w:pPr>
        <w:pStyle w:val="Heading1"/>
        <w:spacing w:before="280" w:after="120"/>
      </w:pPr>
      <w:bookmarkStart w:id="69" w:name="_Toc234702432"/>
      <w:r>
        <w:rPr>
          <w:rFonts w:ascii="Arial" w:eastAsia="Arial" w:hAnsi="Arial"/>
        </w:rPr>
        <w:lastRenderedPageBreak/>
        <w:t>Appendix A: Resource Review and Evidence Traceability</w:t>
      </w:r>
      <w:bookmarkEnd w:id="68"/>
      <w:bookmarkEnd w:id="69"/>
    </w:p>
    <w:p w14:paraId="58ACFE37" w14:textId="77777777" w:rsidR="00BA232D" w:rsidRDefault="00000000" w:rsidP="004F5761">
      <w:pPr>
        <w:spacing w:line="276" w:lineRule="auto"/>
        <w:jc w:val="lowKashida"/>
      </w:pPr>
      <w:r>
        <w:t>I have documented in the table that follows how all the resources listed under Module Resources and Project-Folder Materials were used to review or apply to the project. There are some resources referenced in the body of this report for direct reference, while there are other resources that I had to use to provide context rather than a direct reference since the report should not include references which do not enhance the argument.</w:t>
      </w:r>
    </w:p>
    <w:p w14:paraId="7FA16409" w14:textId="77777777" w:rsidR="00BA232D" w:rsidRDefault="00000000">
      <w:pPr>
        <w:pStyle w:val="Caption"/>
        <w:spacing w:before="120" w:after="40"/>
      </w:pPr>
      <w:r>
        <w:rPr>
          <w:b/>
        </w:rPr>
        <w:t>Table A1. Resource review and evidence traceability.</w:t>
      </w:r>
    </w:p>
    <w:tbl>
      <w:tblPr>
        <w:tblStyle w:val="TableGrid"/>
        <w:tblW w:w="9736" w:type="dxa"/>
        <w:jc w:val="center"/>
        <w:tblLayout w:type="fixed"/>
        <w:tblLook w:val="04A0" w:firstRow="1" w:lastRow="0" w:firstColumn="1" w:lastColumn="0" w:noHBand="0" w:noVBand="1"/>
      </w:tblPr>
      <w:tblGrid>
        <w:gridCol w:w="2755"/>
        <w:gridCol w:w="4482"/>
        <w:gridCol w:w="2499"/>
      </w:tblGrid>
      <w:tr w:rsidR="00BA232D" w14:paraId="27808288" w14:textId="77777777">
        <w:trPr>
          <w:cantSplit/>
          <w:tblHeader/>
          <w:jc w:val="center"/>
        </w:trPr>
        <w:tc>
          <w:tcPr>
            <w:tcW w:w="2755" w:type="dxa"/>
            <w:shd w:val="clear" w:color="auto" w:fill="1F4E79"/>
          </w:tcPr>
          <w:p w14:paraId="6D87A839" w14:textId="77777777" w:rsidR="00BA232D" w:rsidRDefault="00000000">
            <w:pPr>
              <w:spacing w:after="40" w:line="240" w:lineRule="auto"/>
              <w:rPr>
                <w:rFonts w:cs="Arial"/>
              </w:rPr>
            </w:pPr>
            <w:r>
              <w:rPr>
                <w:rFonts w:cs="Arial"/>
                <w:b/>
                <w:color w:val="FFFFFF"/>
                <w:sz w:val="17"/>
              </w:rPr>
              <w:t>Resource reviewed</w:t>
            </w:r>
          </w:p>
        </w:tc>
        <w:tc>
          <w:tcPr>
            <w:tcW w:w="4482" w:type="dxa"/>
            <w:shd w:val="clear" w:color="auto" w:fill="1F4E79"/>
          </w:tcPr>
          <w:p w14:paraId="084D95C3" w14:textId="77777777" w:rsidR="00BA232D" w:rsidRDefault="00000000">
            <w:pPr>
              <w:spacing w:after="40" w:line="240" w:lineRule="auto"/>
              <w:rPr>
                <w:rFonts w:cs="Arial"/>
              </w:rPr>
            </w:pPr>
            <w:r>
              <w:rPr>
                <w:rFonts w:cs="Arial"/>
                <w:b/>
                <w:color w:val="FFFFFF"/>
                <w:sz w:val="17"/>
              </w:rPr>
              <w:t>Use in the capstone</w:t>
            </w:r>
          </w:p>
        </w:tc>
        <w:tc>
          <w:tcPr>
            <w:tcW w:w="2499" w:type="dxa"/>
            <w:shd w:val="clear" w:color="auto" w:fill="1F4E79"/>
          </w:tcPr>
          <w:p w14:paraId="2377017B" w14:textId="77777777" w:rsidR="00BA232D" w:rsidRDefault="00000000">
            <w:pPr>
              <w:spacing w:after="40" w:line="240" w:lineRule="auto"/>
              <w:rPr>
                <w:rFonts w:cs="Arial"/>
              </w:rPr>
            </w:pPr>
            <w:r>
              <w:rPr>
                <w:rFonts w:cs="Arial"/>
                <w:b/>
                <w:color w:val="FFFFFF"/>
                <w:sz w:val="17"/>
              </w:rPr>
              <w:t>Reference treatment</w:t>
            </w:r>
          </w:p>
        </w:tc>
      </w:tr>
      <w:tr w:rsidR="00BA232D" w14:paraId="0F4B79C7" w14:textId="77777777">
        <w:trPr>
          <w:cantSplit/>
          <w:jc w:val="center"/>
        </w:trPr>
        <w:tc>
          <w:tcPr>
            <w:tcW w:w="2755" w:type="dxa"/>
          </w:tcPr>
          <w:p w14:paraId="081C73C0" w14:textId="77777777" w:rsidR="00BA232D" w:rsidRDefault="00000000">
            <w:pPr>
              <w:spacing w:after="40" w:line="240" w:lineRule="auto"/>
              <w:rPr>
                <w:rFonts w:cs="Arial"/>
              </w:rPr>
            </w:pPr>
            <w:r>
              <w:rPr>
                <w:rFonts w:cs="Arial"/>
                <w:sz w:val="17"/>
              </w:rPr>
              <w:t>Secretariat-in-a-Box concept brief</w:t>
            </w:r>
          </w:p>
        </w:tc>
        <w:tc>
          <w:tcPr>
            <w:tcW w:w="4482" w:type="dxa"/>
          </w:tcPr>
          <w:p w14:paraId="46914625" w14:textId="77777777" w:rsidR="00BA232D" w:rsidRDefault="00000000">
            <w:pPr>
              <w:spacing w:after="40" w:line="240" w:lineRule="auto"/>
              <w:rPr>
                <w:rFonts w:cs="Arial"/>
              </w:rPr>
            </w:pPr>
            <w:r>
              <w:rPr>
                <w:rFonts w:cs="Arial"/>
                <w:sz w:val="17"/>
              </w:rPr>
              <w:t>Defined the core idea, meeting lifecycle and design principles.</w:t>
            </w:r>
          </w:p>
        </w:tc>
        <w:tc>
          <w:tcPr>
            <w:tcW w:w="2499" w:type="dxa"/>
          </w:tcPr>
          <w:p w14:paraId="4E3CD886" w14:textId="77777777" w:rsidR="00BA232D" w:rsidRDefault="00000000">
            <w:pPr>
              <w:spacing w:after="40" w:line="240" w:lineRule="auto"/>
              <w:rPr>
                <w:rFonts w:cs="Arial"/>
              </w:rPr>
            </w:pPr>
            <w:r>
              <w:rPr>
                <w:rFonts w:cs="Arial"/>
                <w:sz w:val="17"/>
              </w:rPr>
              <w:t>Cited as Dossa (2026q).</w:t>
            </w:r>
          </w:p>
        </w:tc>
      </w:tr>
      <w:tr w:rsidR="00BA232D" w14:paraId="25BABA1D" w14:textId="77777777">
        <w:trPr>
          <w:cantSplit/>
          <w:jc w:val="center"/>
        </w:trPr>
        <w:tc>
          <w:tcPr>
            <w:tcW w:w="2755" w:type="dxa"/>
            <w:shd w:val="clear" w:color="auto" w:fill="EAF1F7"/>
          </w:tcPr>
          <w:p w14:paraId="5D8B8CC0" w14:textId="77777777" w:rsidR="00BA232D" w:rsidRDefault="00000000">
            <w:pPr>
              <w:spacing w:after="40" w:line="240" w:lineRule="auto"/>
              <w:rPr>
                <w:rFonts w:cs="Arial"/>
              </w:rPr>
            </w:pPr>
            <w:r>
              <w:rPr>
                <w:rFonts w:cs="Arial"/>
                <w:sz w:val="17"/>
              </w:rPr>
              <w:t>Secretariat-in-a-Box product specification</w:t>
            </w:r>
          </w:p>
        </w:tc>
        <w:tc>
          <w:tcPr>
            <w:tcW w:w="4482" w:type="dxa"/>
            <w:shd w:val="clear" w:color="auto" w:fill="EAF1F7"/>
          </w:tcPr>
          <w:p w14:paraId="4DA38A33" w14:textId="77777777" w:rsidR="00BA232D" w:rsidRDefault="00000000">
            <w:pPr>
              <w:spacing w:after="40" w:line="240" w:lineRule="auto"/>
              <w:rPr>
                <w:rFonts w:cs="Arial"/>
              </w:rPr>
            </w:pPr>
            <w:r>
              <w:rPr>
                <w:rFonts w:cs="Arial"/>
                <w:sz w:val="17"/>
              </w:rPr>
              <w:t>Used for goals, non-goals, use cases, architecture, risks and roadmap.</w:t>
            </w:r>
          </w:p>
        </w:tc>
        <w:tc>
          <w:tcPr>
            <w:tcW w:w="2499" w:type="dxa"/>
            <w:shd w:val="clear" w:color="auto" w:fill="EAF1F7"/>
          </w:tcPr>
          <w:p w14:paraId="15F9A850" w14:textId="77777777" w:rsidR="00BA232D" w:rsidRDefault="00000000">
            <w:pPr>
              <w:spacing w:after="40" w:line="240" w:lineRule="auto"/>
              <w:rPr>
                <w:rFonts w:cs="Arial"/>
              </w:rPr>
            </w:pPr>
            <w:r>
              <w:rPr>
                <w:rFonts w:cs="Arial"/>
                <w:sz w:val="17"/>
              </w:rPr>
              <w:t>Cited as Dossa (2026r).</w:t>
            </w:r>
          </w:p>
        </w:tc>
      </w:tr>
      <w:tr w:rsidR="00BA232D" w14:paraId="5F76281C" w14:textId="77777777">
        <w:trPr>
          <w:cantSplit/>
          <w:jc w:val="center"/>
        </w:trPr>
        <w:tc>
          <w:tcPr>
            <w:tcW w:w="2755" w:type="dxa"/>
          </w:tcPr>
          <w:p w14:paraId="0782B518" w14:textId="77777777" w:rsidR="00BA232D" w:rsidRDefault="00000000">
            <w:pPr>
              <w:spacing w:after="40" w:line="240" w:lineRule="auto"/>
              <w:rPr>
                <w:rFonts w:cs="Arial"/>
              </w:rPr>
            </w:pPr>
            <w:r>
              <w:rPr>
                <w:rFonts w:cs="Arial"/>
                <w:sz w:val="17"/>
              </w:rPr>
              <w:t>Module 1 PCAD Strategic Plan 2026 to 2030</w:t>
            </w:r>
          </w:p>
        </w:tc>
        <w:tc>
          <w:tcPr>
            <w:tcW w:w="4482" w:type="dxa"/>
          </w:tcPr>
          <w:p w14:paraId="3C6A02EE" w14:textId="77777777" w:rsidR="00BA232D" w:rsidRDefault="00000000">
            <w:pPr>
              <w:spacing w:after="40" w:line="240" w:lineRule="auto"/>
              <w:rPr>
                <w:rFonts w:cs="Arial"/>
              </w:rPr>
            </w:pPr>
            <w:r>
              <w:rPr>
                <w:rFonts w:cs="Arial"/>
                <w:sz w:val="17"/>
              </w:rPr>
              <w:t>Provided the strategic foundation: PCAD as portfolio governance platform and controlled stabilisation.</w:t>
            </w:r>
          </w:p>
        </w:tc>
        <w:tc>
          <w:tcPr>
            <w:tcW w:w="2499" w:type="dxa"/>
          </w:tcPr>
          <w:p w14:paraId="49FF3A8E" w14:textId="77777777" w:rsidR="00BA232D" w:rsidRDefault="00000000">
            <w:pPr>
              <w:spacing w:after="40" w:line="240" w:lineRule="auto"/>
              <w:rPr>
                <w:rFonts w:cs="Arial"/>
              </w:rPr>
            </w:pPr>
            <w:r>
              <w:rPr>
                <w:rFonts w:cs="Arial"/>
                <w:sz w:val="17"/>
              </w:rPr>
              <w:t>Cited as Dossa (2026o) and summarised in Appendix B.</w:t>
            </w:r>
          </w:p>
        </w:tc>
      </w:tr>
      <w:tr w:rsidR="00BA232D" w14:paraId="11C61CF9" w14:textId="77777777">
        <w:trPr>
          <w:cantSplit/>
          <w:jc w:val="center"/>
        </w:trPr>
        <w:tc>
          <w:tcPr>
            <w:tcW w:w="2755" w:type="dxa"/>
            <w:shd w:val="clear" w:color="auto" w:fill="EAF1F7"/>
          </w:tcPr>
          <w:p w14:paraId="52EDA1CC" w14:textId="77777777" w:rsidR="00BA232D" w:rsidRDefault="00000000">
            <w:pPr>
              <w:spacing w:after="40" w:line="240" w:lineRule="auto"/>
              <w:rPr>
                <w:rFonts w:cs="Arial"/>
              </w:rPr>
            </w:pPr>
            <w:r>
              <w:rPr>
                <w:rFonts w:cs="Arial"/>
                <w:sz w:val="17"/>
              </w:rPr>
              <w:t>Module 2 PCAD Collaborative Decision Architecture</w:t>
            </w:r>
          </w:p>
        </w:tc>
        <w:tc>
          <w:tcPr>
            <w:tcW w:w="4482" w:type="dxa"/>
            <w:shd w:val="clear" w:color="auto" w:fill="EAF1F7"/>
          </w:tcPr>
          <w:p w14:paraId="0164F0F8" w14:textId="77777777" w:rsidR="00BA232D" w:rsidRDefault="00000000">
            <w:pPr>
              <w:spacing w:after="40" w:line="240" w:lineRule="auto"/>
              <w:rPr>
                <w:rFonts w:cs="Arial"/>
              </w:rPr>
            </w:pPr>
            <w:r>
              <w:rPr>
                <w:rFonts w:cs="Arial"/>
                <w:sz w:val="17"/>
              </w:rPr>
              <w:t>Provided the DECIDE cycle, dual-lens triage and pilot discipline.</w:t>
            </w:r>
          </w:p>
        </w:tc>
        <w:tc>
          <w:tcPr>
            <w:tcW w:w="2499" w:type="dxa"/>
            <w:shd w:val="clear" w:color="auto" w:fill="EAF1F7"/>
          </w:tcPr>
          <w:p w14:paraId="187D161D" w14:textId="77777777" w:rsidR="00BA232D" w:rsidRDefault="00000000">
            <w:pPr>
              <w:spacing w:after="40" w:line="240" w:lineRule="auto"/>
              <w:rPr>
                <w:rFonts w:cs="Arial"/>
              </w:rPr>
            </w:pPr>
            <w:r>
              <w:rPr>
                <w:rFonts w:cs="Arial"/>
                <w:sz w:val="17"/>
              </w:rPr>
              <w:t>Cited as Dossa (2026p) and summarised in Appendix C.</w:t>
            </w:r>
          </w:p>
        </w:tc>
      </w:tr>
      <w:tr w:rsidR="00BA232D" w14:paraId="22220F91" w14:textId="77777777">
        <w:trPr>
          <w:cantSplit/>
          <w:jc w:val="center"/>
        </w:trPr>
        <w:tc>
          <w:tcPr>
            <w:tcW w:w="2755" w:type="dxa"/>
          </w:tcPr>
          <w:p w14:paraId="7852318A" w14:textId="77777777" w:rsidR="00BA232D" w:rsidRDefault="00000000">
            <w:pPr>
              <w:spacing w:after="40" w:line="240" w:lineRule="auto"/>
              <w:rPr>
                <w:rFonts w:cs="Arial"/>
              </w:rPr>
            </w:pPr>
            <w:r>
              <w:rPr>
                <w:rFonts w:cs="Arial"/>
                <w:sz w:val="17"/>
              </w:rPr>
              <w:t>Student Task Completion Checklist</w:t>
            </w:r>
          </w:p>
        </w:tc>
        <w:tc>
          <w:tcPr>
            <w:tcW w:w="4482" w:type="dxa"/>
          </w:tcPr>
          <w:p w14:paraId="044382B8" w14:textId="77777777" w:rsidR="00BA232D" w:rsidRDefault="00000000">
            <w:pPr>
              <w:spacing w:after="40" w:line="240" w:lineRule="auto"/>
              <w:rPr>
                <w:rFonts w:cs="Arial"/>
              </w:rPr>
            </w:pPr>
            <w:r>
              <w:rPr>
                <w:rFonts w:cs="Arial"/>
                <w:sz w:val="17"/>
              </w:rPr>
              <w:t>Used to map the report against the four learning outcomes.</w:t>
            </w:r>
          </w:p>
        </w:tc>
        <w:tc>
          <w:tcPr>
            <w:tcW w:w="2499" w:type="dxa"/>
          </w:tcPr>
          <w:p w14:paraId="2CFA8737" w14:textId="77777777" w:rsidR="00BA232D" w:rsidRDefault="00000000">
            <w:pPr>
              <w:spacing w:after="40" w:line="240" w:lineRule="auto"/>
              <w:rPr>
                <w:rFonts w:cs="Arial"/>
              </w:rPr>
            </w:pPr>
            <w:r>
              <w:rPr>
                <w:rFonts w:cs="Arial"/>
                <w:sz w:val="17"/>
              </w:rPr>
              <w:t>Completed in Appendix D.</w:t>
            </w:r>
          </w:p>
        </w:tc>
      </w:tr>
      <w:tr w:rsidR="00BA232D" w14:paraId="05FD0451" w14:textId="77777777">
        <w:trPr>
          <w:cantSplit/>
          <w:jc w:val="center"/>
        </w:trPr>
        <w:tc>
          <w:tcPr>
            <w:tcW w:w="2755" w:type="dxa"/>
            <w:shd w:val="clear" w:color="auto" w:fill="EAF1F7"/>
          </w:tcPr>
          <w:p w14:paraId="0FBBE533" w14:textId="77777777" w:rsidR="00BA232D" w:rsidRDefault="00000000">
            <w:pPr>
              <w:spacing w:after="40" w:line="240" w:lineRule="auto"/>
              <w:rPr>
                <w:rFonts w:cs="Arial"/>
              </w:rPr>
            </w:pPr>
            <w:r>
              <w:rPr>
                <w:rFonts w:cs="Arial"/>
                <w:sz w:val="17"/>
              </w:rPr>
              <w:t>Disruptive innovation resources</w:t>
            </w:r>
          </w:p>
        </w:tc>
        <w:tc>
          <w:tcPr>
            <w:tcW w:w="4482" w:type="dxa"/>
            <w:shd w:val="clear" w:color="auto" w:fill="EAF1F7"/>
          </w:tcPr>
          <w:p w14:paraId="36549FDB" w14:textId="77777777" w:rsidR="00BA232D" w:rsidRDefault="00000000">
            <w:pPr>
              <w:spacing w:after="40" w:line="240" w:lineRule="auto"/>
              <w:rPr>
                <w:rFonts w:cs="Arial"/>
              </w:rPr>
            </w:pPr>
            <w:r>
              <w:rPr>
                <w:rFonts w:cs="Arial"/>
                <w:sz w:val="17"/>
              </w:rPr>
              <w:t>Used to distinguish genuine disruption from ordinary technology improvement.</w:t>
            </w:r>
          </w:p>
        </w:tc>
        <w:tc>
          <w:tcPr>
            <w:tcW w:w="2499" w:type="dxa"/>
            <w:shd w:val="clear" w:color="auto" w:fill="EAF1F7"/>
          </w:tcPr>
          <w:p w14:paraId="67857597" w14:textId="77777777" w:rsidR="00BA232D" w:rsidRDefault="00000000">
            <w:pPr>
              <w:spacing w:after="40" w:line="240" w:lineRule="auto"/>
              <w:rPr>
                <w:rFonts w:cs="Arial"/>
              </w:rPr>
            </w:pPr>
            <w:r>
              <w:rPr>
                <w:rFonts w:cs="Arial"/>
                <w:sz w:val="17"/>
              </w:rPr>
              <w:t>Cited through Christensen et al. (2015) and related study notes.</w:t>
            </w:r>
          </w:p>
        </w:tc>
      </w:tr>
      <w:tr w:rsidR="00BA232D" w14:paraId="46A32874" w14:textId="77777777">
        <w:trPr>
          <w:cantSplit/>
          <w:jc w:val="center"/>
        </w:trPr>
        <w:tc>
          <w:tcPr>
            <w:tcW w:w="2755" w:type="dxa"/>
          </w:tcPr>
          <w:p w14:paraId="569B3E76" w14:textId="77777777" w:rsidR="00BA232D" w:rsidRDefault="00000000">
            <w:pPr>
              <w:spacing w:after="40" w:line="240" w:lineRule="auto"/>
              <w:rPr>
                <w:rFonts w:cs="Arial"/>
              </w:rPr>
            </w:pPr>
            <w:r>
              <w:rPr>
                <w:rFonts w:cs="Arial"/>
                <w:sz w:val="17"/>
              </w:rPr>
              <w:t>Eight essentials of innovation and innovation commitment</w:t>
            </w:r>
          </w:p>
        </w:tc>
        <w:tc>
          <w:tcPr>
            <w:tcW w:w="4482" w:type="dxa"/>
          </w:tcPr>
          <w:p w14:paraId="1CB8270F" w14:textId="77777777" w:rsidR="00BA232D" w:rsidRDefault="00000000">
            <w:pPr>
              <w:spacing w:after="40" w:line="240" w:lineRule="auto"/>
              <w:rPr>
                <w:rFonts w:cs="Arial"/>
              </w:rPr>
            </w:pPr>
            <w:r>
              <w:rPr>
                <w:rFonts w:cs="Arial"/>
                <w:sz w:val="17"/>
              </w:rPr>
              <w:t>Used to frame aspiration, choice, mobilisation, piloting and scaling.</w:t>
            </w:r>
          </w:p>
        </w:tc>
        <w:tc>
          <w:tcPr>
            <w:tcW w:w="2499" w:type="dxa"/>
          </w:tcPr>
          <w:p w14:paraId="5FBF3D65" w14:textId="77777777" w:rsidR="00BA232D" w:rsidRDefault="00000000">
            <w:pPr>
              <w:spacing w:after="40" w:line="240" w:lineRule="auto"/>
              <w:rPr>
                <w:rFonts w:cs="Arial"/>
              </w:rPr>
            </w:pPr>
            <w:proofErr w:type="spellStart"/>
            <w:r>
              <w:rPr>
                <w:rFonts w:cs="Arial"/>
                <w:sz w:val="17"/>
                <w:lang w:val="fr-FR"/>
              </w:rPr>
              <w:t>Cited</w:t>
            </w:r>
            <w:proofErr w:type="spellEnd"/>
            <w:r>
              <w:rPr>
                <w:rFonts w:cs="Arial"/>
                <w:sz w:val="17"/>
                <w:lang w:val="fr-FR"/>
              </w:rPr>
              <w:t xml:space="preserve"> as de Jong et al. </w:t>
            </w:r>
            <w:r>
              <w:rPr>
                <w:rFonts w:cs="Arial"/>
                <w:sz w:val="17"/>
              </w:rPr>
              <w:t>(2015) and Cohen et al. (2019).</w:t>
            </w:r>
          </w:p>
        </w:tc>
      </w:tr>
      <w:tr w:rsidR="00BA232D" w14:paraId="27207A1F" w14:textId="77777777">
        <w:trPr>
          <w:cantSplit/>
          <w:jc w:val="center"/>
        </w:trPr>
        <w:tc>
          <w:tcPr>
            <w:tcW w:w="2755" w:type="dxa"/>
            <w:shd w:val="clear" w:color="auto" w:fill="EAF1F7"/>
          </w:tcPr>
          <w:p w14:paraId="7C53BF08" w14:textId="77777777" w:rsidR="00BA232D" w:rsidRDefault="00000000">
            <w:pPr>
              <w:spacing w:after="40" w:line="240" w:lineRule="auto"/>
              <w:rPr>
                <w:rFonts w:cs="Arial"/>
              </w:rPr>
            </w:pPr>
            <w:r>
              <w:rPr>
                <w:rFonts w:cs="Arial"/>
                <w:sz w:val="17"/>
              </w:rPr>
              <w:t>Innovation in a crisis and launchpad out of Covid</w:t>
            </w:r>
          </w:p>
        </w:tc>
        <w:tc>
          <w:tcPr>
            <w:tcW w:w="4482" w:type="dxa"/>
            <w:shd w:val="clear" w:color="auto" w:fill="EAF1F7"/>
          </w:tcPr>
          <w:p w14:paraId="33D48E64" w14:textId="77777777" w:rsidR="00BA232D" w:rsidRDefault="00000000">
            <w:pPr>
              <w:spacing w:after="40" w:line="240" w:lineRule="auto"/>
              <w:rPr>
                <w:rFonts w:cs="Arial"/>
              </w:rPr>
            </w:pPr>
            <w:r>
              <w:rPr>
                <w:rFonts w:cs="Arial"/>
                <w:sz w:val="17"/>
              </w:rPr>
              <w:t>Used for post-Covid resilience and crisis-driven reinvention.</w:t>
            </w:r>
          </w:p>
        </w:tc>
        <w:tc>
          <w:tcPr>
            <w:tcW w:w="2499" w:type="dxa"/>
            <w:shd w:val="clear" w:color="auto" w:fill="EAF1F7"/>
          </w:tcPr>
          <w:p w14:paraId="7C676F29" w14:textId="77777777" w:rsidR="00BA232D" w:rsidRDefault="00000000">
            <w:pPr>
              <w:spacing w:after="40" w:line="240" w:lineRule="auto"/>
              <w:rPr>
                <w:rFonts w:cs="Arial"/>
              </w:rPr>
            </w:pPr>
            <w:r>
              <w:rPr>
                <w:rFonts w:cs="Arial"/>
                <w:sz w:val="17"/>
              </w:rPr>
              <w:t xml:space="preserve">Cited as Bar Am et al. (2020) and </w:t>
            </w:r>
            <w:proofErr w:type="spellStart"/>
            <w:r>
              <w:rPr>
                <w:rFonts w:cs="Arial"/>
                <w:sz w:val="17"/>
              </w:rPr>
              <w:t>Furstenthal</w:t>
            </w:r>
            <w:proofErr w:type="spellEnd"/>
            <w:r>
              <w:rPr>
                <w:rFonts w:cs="Arial"/>
                <w:sz w:val="17"/>
              </w:rPr>
              <w:t xml:space="preserve"> et al. (2021).</w:t>
            </w:r>
          </w:p>
        </w:tc>
      </w:tr>
      <w:tr w:rsidR="00BA232D" w14:paraId="4357C17A" w14:textId="77777777">
        <w:trPr>
          <w:cantSplit/>
          <w:jc w:val="center"/>
        </w:trPr>
        <w:tc>
          <w:tcPr>
            <w:tcW w:w="2755" w:type="dxa"/>
          </w:tcPr>
          <w:p w14:paraId="23F9C56A" w14:textId="77777777" w:rsidR="00BA232D" w:rsidRDefault="00000000">
            <w:pPr>
              <w:spacing w:after="40" w:line="240" w:lineRule="auto"/>
              <w:rPr>
                <w:rFonts w:cs="Arial"/>
              </w:rPr>
            </w:pPr>
            <w:r>
              <w:rPr>
                <w:rFonts w:cs="Arial"/>
                <w:sz w:val="17"/>
              </w:rPr>
              <w:t>Seven steps to better brainstorming and sparking creativity in teams</w:t>
            </w:r>
          </w:p>
        </w:tc>
        <w:tc>
          <w:tcPr>
            <w:tcW w:w="4482" w:type="dxa"/>
          </w:tcPr>
          <w:p w14:paraId="4017384B" w14:textId="77777777" w:rsidR="00BA232D" w:rsidRDefault="00000000">
            <w:pPr>
              <w:spacing w:after="40" w:line="240" w:lineRule="auto"/>
              <w:rPr>
                <w:rFonts w:cs="Arial"/>
              </w:rPr>
            </w:pPr>
            <w:r>
              <w:rPr>
                <w:rFonts w:cs="Arial"/>
                <w:sz w:val="17"/>
              </w:rPr>
              <w:t>Reviewed for innovation workshop design and challenge discipline.</w:t>
            </w:r>
          </w:p>
        </w:tc>
        <w:tc>
          <w:tcPr>
            <w:tcW w:w="2499" w:type="dxa"/>
          </w:tcPr>
          <w:p w14:paraId="55D76558" w14:textId="77777777" w:rsidR="00BA232D" w:rsidRDefault="00000000">
            <w:pPr>
              <w:spacing w:after="40" w:line="240" w:lineRule="auto"/>
              <w:rPr>
                <w:rFonts w:cs="Arial"/>
              </w:rPr>
            </w:pPr>
            <w:r>
              <w:rPr>
                <w:rFonts w:cs="Arial"/>
                <w:sz w:val="17"/>
              </w:rPr>
              <w:t>Used indirectly in implementation thinking; cited in references only where applied.</w:t>
            </w:r>
          </w:p>
        </w:tc>
      </w:tr>
      <w:tr w:rsidR="00BA232D" w14:paraId="5E67FA88" w14:textId="77777777">
        <w:trPr>
          <w:cantSplit/>
          <w:jc w:val="center"/>
        </w:trPr>
        <w:tc>
          <w:tcPr>
            <w:tcW w:w="2755" w:type="dxa"/>
            <w:shd w:val="clear" w:color="auto" w:fill="EAF1F7"/>
          </w:tcPr>
          <w:p w14:paraId="18A63D5D" w14:textId="77777777" w:rsidR="00BA232D" w:rsidRDefault="00000000">
            <w:pPr>
              <w:spacing w:after="40" w:line="240" w:lineRule="auto"/>
              <w:rPr>
                <w:rFonts w:cs="Arial"/>
              </w:rPr>
            </w:pPr>
            <w:r>
              <w:rPr>
                <w:rFonts w:cs="Arial"/>
                <w:sz w:val="17"/>
              </w:rPr>
              <w:t>The 8 ways companies get work done</w:t>
            </w:r>
          </w:p>
        </w:tc>
        <w:tc>
          <w:tcPr>
            <w:tcW w:w="4482" w:type="dxa"/>
            <w:shd w:val="clear" w:color="auto" w:fill="EAF1F7"/>
          </w:tcPr>
          <w:p w14:paraId="3C8CDCAC" w14:textId="77777777" w:rsidR="00BA232D" w:rsidRDefault="00000000">
            <w:pPr>
              <w:spacing w:after="40" w:line="240" w:lineRule="auto"/>
              <w:rPr>
                <w:rFonts w:cs="Arial"/>
              </w:rPr>
            </w:pPr>
            <w:r>
              <w:rPr>
                <w:rFonts w:cs="Arial"/>
                <w:sz w:val="17"/>
              </w:rPr>
              <w:t>Used for the human and automation operating model.</w:t>
            </w:r>
          </w:p>
        </w:tc>
        <w:tc>
          <w:tcPr>
            <w:tcW w:w="2499" w:type="dxa"/>
            <w:shd w:val="clear" w:color="auto" w:fill="EAF1F7"/>
          </w:tcPr>
          <w:p w14:paraId="02FA7BB2" w14:textId="77777777" w:rsidR="00BA232D" w:rsidRDefault="00000000">
            <w:pPr>
              <w:spacing w:after="40" w:line="240" w:lineRule="auto"/>
              <w:rPr>
                <w:rFonts w:cs="Arial"/>
              </w:rPr>
            </w:pPr>
            <w:r>
              <w:rPr>
                <w:rFonts w:cs="Arial"/>
                <w:sz w:val="17"/>
              </w:rPr>
              <w:t xml:space="preserve">Cited as </w:t>
            </w:r>
            <w:proofErr w:type="spellStart"/>
            <w:r>
              <w:rPr>
                <w:rFonts w:cs="Arial"/>
                <w:sz w:val="17"/>
              </w:rPr>
              <w:t>Jesuthasan</w:t>
            </w:r>
            <w:proofErr w:type="spellEnd"/>
            <w:r>
              <w:rPr>
                <w:rFonts w:cs="Arial"/>
                <w:sz w:val="17"/>
              </w:rPr>
              <w:t xml:space="preserve"> (2019).</w:t>
            </w:r>
          </w:p>
        </w:tc>
      </w:tr>
      <w:tr w:rsidR="00BA232D" w14:paraId="0789C90D" w14:textId="77777777">
        <w:trPr>
          <w:cantSplit/>
          <w:jc w:val="center"/>
        </w:trPr>
        <w:tc>
          <w:tcPr>
            <w:tcW w:w="2755" w:type="dxa"/>
          </w:tcPr>
          <w:p w14:paraId="56032D51" w14:textId="77777777" w:rsidR="00BA232D" w:rsidRDefault="00000000">
            <w:pPr>
              <w:spacing w:after="40" w:line="240" w:lineRule="auto"/>
              <w:rPr>
                <w:rFonts w:cs="Arial"/>
              </w:rPr>
            </w:pPr>
            <w:r>
              <w:rPr>
                <w:rFonts w:cs="Arial"/>
                <w:sz w:val="17"/>
              </w:rPr>
              <w:t>Why people lose motivation</w:t>
            </w:r>
          </w:p>
        </w:tc>
        <w:tc>
          <w:tcPr>
            <w:tcW w:w="4482" w:type="dxa"/>
          </w:tcPr>
          <w:p w14:paraId="52EE5B36" w14:textId="77777777" w:rsidR="00BA232D" w:rsidRDefault="00000000">
            <w:pPr>
              <w:spacing w:after="40" w:line="240" w:lineRule="auto"/>
              <w:rPr>
                <w:rFonts w:cs="Arial"/>
              </w:rPr>
            </w:pPr>
            <w:r>
              <w:rPr>
                <w:rFonts w:cs="Arial"/>
                <w:sz w:val="17"/>
              </w:rPr>
              <w:t>Used for adoption, learning and capability framing.</w:t>
            </w:r>
          </w:p>
        </w:tc>
        <w:tc>
          <w:tcPr>
            <w:tcW w:w="2499" w:type="dxa"/>
          </w:tcPr>
          <w:p w14:paraId="1D2DF7D8" w14:textId="77777777" w:rsidR="00BA232D" w:rsidRDefault="00000000">
            <w:pPr>
              <w:spacing w:after="40" w:line="240" w:lineRule="auto"/>
              <w:rPr>
                <w:rFonts w:cs="Arial"/>
              </w:rPr>
            </w:pPr>
            <w:r>
              <w:rPr>
                <w:rFonts w:cs="Arial"/>
                <w:sz w:val="17"/>
              </w:rPr>
              <w:t>Cited as Cable (2018).</w:t>
            </w:r>
          </w:p>
        </w:tc>
      </w:tr>
      <w:tr w:rsidR="00BA232D" w14:paraId="27DE3F15" w14:textId="77777777">
        <w:trPr>
          <w:cantSplit/>
          <w:jc w:val="center"/>
        </w:trPr>
        <w:tc>
          <w:tcPr>
            <w:tcW w:w="2755" w:type="dxa"/>
            <w:shd w:val="clear" w:color="auto" w:fill="EAF1F7"/>
          </w:tcPr>
          <w:p w14:paraId="4BF2B84F" w14:textId="77777777" w:rsidR="00BA232D" w:rsidRDefault="00000000">
            <w:pPr>
              <w:spacing w:after="40" w:line="240" w:lineRule="auto"/>
              <w:rPr>
                <w:rFonts w:cs="Arial"/>
              </w:rPr>
            </w:pPr>
            <w:r>
              <w:rPr>
                <w:rFonts w:cs="Arial"/>
                <w:sz w:val="17"/>
              </w:rPr>
              <w:t>Don't let financial metrics prematurely stifle innovation</w:t>
            </w:r>
          </w:p>
        </w:tc>
        <w:tc>
          <w:tcPr>
            <w:tcW w:w="4482" w:type="dxa"/>
            <w:shd w:val="clear" w:color="auto" w:fill="EAF1F7"/>
          </w:tcPr>
          <w:p w14:paraId="39959E91" w14:textId="77777777" w:rsidR="00BA232D" w:rsidRDefault="00000000">
            <w:pPr>
              <w:spacing w:after="40" w:line="240" w:lineRule="auto"/>
              <w:rPr>
                <w:rFonts w:cs="Arial"/>
              </w:rPr>
            </w:pPr>
            <w:r>
              <w:rPr>
                <w:rFonts w:cs="Arial"/>
                <w:sz w:val="17"/>
              </w:rPr>
              <w:t>Used for stage-appropriate measurement and pilot evidence.</w:t>
            </w:r>
          </w:p>
        </w:tc>
        <w:tc>
          <w:tcPr>
            <w:tcW w:w="2499" w:type="dxa"/>
            <w:shd w:val="clear" w:color="auto" w:fill="EAF1F7"/>
          </w:tcPr>
          <w:p w14:paraId="3BF101C9" w14:textId="77777777" w:rsidR="00BA232D" w:rsidRDefault="00000000">
            <w:pPr>
              <w:spacing w:after="40" w:line="240" w:lineRule="auto"/>
              <w:rPr>
                <w:rFonts w:cs="Arial"/>
              </w:rPr>
            </w:pPr>
            <w:r>
              <w:rPr>
                <w:rFonts w:cs="Arial"/>
                <w:sz w:val="17"/>
              </w:rPr>
              <w:t>Cited as Kirsner (2021).</w:t>
            </w:r>
          </w:p>
        </w:tc>
      </w:tr>
      <w:tr w:rsidR="00BA232D" w14:paraId="0BE42B23" w14:textId="77777777">
        <w:trPr>
          <w:cantSplit/>
          <w:jc w:val="center"/>
        </w:trPr>
        <w:tc>
          <w:tcPr>
            <w:tcW w:w="2755" w:type="dxa"/>
          </w:tcPr>
          <w:p w14:paraId="1426D1E9" w14:textId="77777777" w:rsidR="00BA232D" w:rsidRDefault="00000000">
            <w:pPr>
              <w:spacing w:after="40" w:line="240" w:lineRule="auto"/>
              <w:rPr>
                <w:rFonts w:cs="Arial"/>
              </w:rPr>
            </w:pPr>
            <w:r>
              <w:rPr>
                <w:rFonts w:cs="Arial"/>
                <w:sz w:val="17"/>
              </w:rPr>
              <w:t>Marketing-led growth and perfect union resources</w:t>
            </w:r>
          </w:p>
        </w:tc>
        <w:tc>
          <w:tcPr>
            <w:tcW w:w="4482" w:type="dxa"/>
          </w:tcPr>
          <w:p w14:paraId="304FA3D9" w14:textId="77777777" w:rsidR="00BA232D" w:rsidRDefault="00000000">
            <w:pPr>
              <w:spacing w:after="40" w:line="240" w:lineRule="auto"/>
              <w:rPr>
                <w:rFonts w:cs="Arial"/>
              </w:rPr>
            </w:pPr>
            <w:r>
              <w:rPr>
                <w:rFonts w:cs="Arial"/>
                <w:sz w:val="17"/>
              </w:rPr>
              <w:t>Reviewed for data, creativity and credibility themes; less directly applicable to Board secretariat governance.</w:t>
            </w:r>
          </w:p>
        </w:tc>
        <w:tc>
          <w:tcPr>
            <w:tcW w:w="2499" w:type="dxa"/>
          </w:tcPr>
          <w:p w14:paraId="7A4D8B41" w14:textId="77777777" w:rsidR="00BA232D" w:rsidRDefault="00000000">
            <w:pPr>
              <w:spacing w:after="40" w:line="240" w:lineRule="auto"/>
              <w:rPr>
                <w:rFonts w:cs="Arial"/>
              </w:rPr>
            </w:pPr>
            <w:r>
              <w:rPr>
                <w:rFonts w:cs="Arial"/>
                <w:sz w:val="17"/>
              </w:rPr>
              <w:t>Not central to the main argument.</w:t>
            </w:r>
          </w:p>
        </w:tc>
      </w:tr>
      <w:tr w:rsidR="00BA232D" w14:paraId="2BC7D186" w14:textId="77777777">
        <w:trPr>
          <w:cantSplit/>
          <w:jc w:val="center"/>
        </w:trPr>
        <w:tc>
          <w:tcPr>
            <w:tcW w:w="2755" w:type="dxa"/>
            <w:shd w:val="clear" w:color="auto" w:fill="EAF1F7"/>
          </w:tcPr>
          <w:p w14:paraId="4B578E31" w14:textId="77777777" w:rsidR="00BA232D" w:rsidRDefault="00000000">
            <w:pPr>
              <w:spacing w:after="40" w:line="240" w:lineRule="auto"/>
              <w:rPr>
                <w:rFonts w:cs="Arial"/>
              </w:rPr>
            </w:pPr>
            <w:r>
              <w:rPr>
                <w:rFonts w:cs="Arial"/>
                <w:sz w:val="17"/>
              </w:rPr>
              <w:t>Maggie Smith on loss, creativity and change</w:t>
            </w:r>
          </w:p>
        </w:tc>
        <w:tc>
          <w:tcPr>
            <w:tcW w:w="4482" w:type="dxa"/>
            <w:shd w:val="clear" w:color="auto" w:fill="EAF1F7"/>
          </w:tcPr>
          <w:p w14:paraId="78F6DBA4" w14:textId="77777777" w:rsidR="00BA232D" w:rsidRDefault="00000000">
            <w:pPr>
              <w:spacing w:after="40" w:line="240" w:lineRule="auto"/>
              <w:rPr>
                <w:rFonts w:cs="Arial"/>
              </w:rPr>
            </w:pPr>
            <w:r>
              <w:rPr>
                <w:rFonts w:cs="Arial"/>
                <w:sz w:val="17"/>
              </w:rPr>
              <w:t>Reviewed as a general creativity and change perspective; not central to the governance proposal.</w:t>
            </w:r>
          </w:p>
        </w:tc>
        <w:tc>
          <w:tcPr>
            <w:tcW w:w="2499" w:type="dxa"/>
            <w:shd w:val="clear" w:color="auto" w:fill="EAF1F7"/>
          </w:tcPr>
          <w:p w14:paraId="31552DB9" w14:textId="77777777" w:rsidR="00BA232D" w:rsidRDefault="00000000">
            <w:pPr>
              <w:spacing w:after="40" w:line="240" w:lineRule="auto"/>
              <w:rPr>
                <w:rFonts w:cs="Arial"/>
              </w:rPr>
            </w:pPr>
            <w:r>
              <w:rPr>
                <w:rFonts w:cs="Arial"/>
                <w:sz w:val="17"/>
              </w:rPr>
              <w:t>Not cited in main argument.</w:t>
            </w:r>
          </w:p>
        </w:tc>
      </w:tr>
    </w:tbl>
    <w:p w14:paraId="2BBDC7D0" w14:textId="77777777" w:rsidR="00BA232D" w:rsidRDefault="00BA232D"/>
    <w:p w14:paraId="2AA75101" w14:textId="77777777" w:rsidR="00BA232D" w:rsidRDefault="00BA232D">
      <w:pPr>
        <w:spacing w:after="200" w:line="276" w:lineRule="auto"/>
        <w:rPr>
          <w:rFonts w:cstheme="majorBidi"/>
          <w:b/>
          <w:bCs/>
          <w:color w:val="1F4E79"/>
          <w:sz w:val="32"/>
          <w:szCs w:val="28"/>
        </w:rPr>
      </w:pPr>
    </w:p>
    <w:p w14:paraId="48D9CFF9" w14:textId="77777777" w:rsidR="004F5761" w:rsidRDefault="004F5761">
      <w:pPr>
        <w:spacing w:after="0" w:line="240" w:lineRule="auto"/>
        <w:rPr>
          <w:rFonts w:cstheme="majorBidi"/>
          <w:b/>
          <w:bCs/>
          <w:color w:val="1F4E79"/>
          <w:sz w:val="32"/>
          <w:szCs w:val="28"/>
        </w:rPr>
      </w:pPr>
      <w:bookmarkStart w:id="70" w:name="_Toc234699831"/>
      <w:r>
        <w:br w:type="page"/>
      </w:r>
    </w:p>
    <w:p w14:paraId="6FDB500D" w14:textId="53ADAD2F" w:rsidR="00BA232D" w:rsidRDefault="00000000">
      <w:pPr>
        <w:pStyle w:val="Heading1"/>
        <w:spacing w:before="280" w:after="120"/>
      </w:pPr>
      <w:bookmarkStart w:id="71" w:name="_Toc234702433"/>
      <w:r>
        <w:rPr>
          <w:rFonts w:ascii="Arial" w:eastAsia="Arial" w:hAnsi="Arial"/>
        </w:rPr>
        <w:lastRenderedPageBreak/>
        <w:t>Appendix B: Summary of Module 1 (PCAD Strategic Plan 2026 to 2030)</w:t>
      </w:r>
      <w:bookmarkEnd w:id="70"/>
      <w:bookmarkEnd w:id="71"/>
    </w:p>
    <w:p w14:paraId="4B9B07DF" w14:textId="77777777" w:rsidR="00BA232D" w:rsidRDefault="00000000" w:rsidP="004F5761">
      <w:pPr>
        <w:spacing w:line="276" w:lineRule="auto"/>
        <w:jc w:val="lowKashida"/>
      </w:pPr>
      <w:r>
        <w:t xml:space="preserve">The first module (Module 1) for PCAD has developed a strategic plan over a period of five years. As PIF transitioned from one of rapid growth into a sustainable business model with long-term shareholder value creation as its goal, PCAD’s purpose would be in creating Board Lifecycle Excellence, Corporate Governance Advisory Services, Early Warning and Calibrated Engagement, Independent Quality Assurance, Decision Support and Portfolio-Facing Relationship Management. </w:t>
      </w:r>
    </w:p>
    <w:p w14:paraId="1589C750" w14:textId="77777777" w:rsidR="00BA232D" w:rsidRDefault="00000000" w:rsidP="004F5761">
      <w:pPr>
        <w:spacing w:line="276" w:lineRule="auto"/>
        <w:jc w:val="lowKashida"/>
      </w:pPr>
      <w:r>
        <w:t>Module 1 identified an underlying organisational design weakness in the form of the need to create institutionalised routine-based capabilities to ensure effective governance.  With a similar approach, it is recommended to initiate a stabilisation of the function that manages the corporate governance of a company, i.e. the Board secretariat. This capstone will take this strategic vision and apply it to the development of the Board secretariat function. Secretariat-in-a-Box represents a practical means by which individual secretariat expertise can be converted into repeatable governance capability.</w:t>
      </w:r>
    </w:p>
    <w:p w14:paraId="61AFFE9C" w14:textId="77777777" w:rsidR="00BA232D" w:rsidRDefault="00000000">
      <w:pPr>
        <w:pStyle w:val="Caption"/>
        <w:spacing w:before="120" w:after="40"/>
      </w:pPr>
      <w:r>
        <w:rPr>
          <w:b/>
        </w:rPr>
        <w:t>Table B1. Module 1 summary and linkage.</w:t>
      </w:r>
    </w:p>
    <w:tbl>
      <w:tblPr>
        <w:tblStyle w:val="TableGrid"/>
        <w:tblW w:w="9648" w:type="dxa"/>
        <w:jc w:val="center"/>
        <w:tblLayout w:type="fixed"/>
        <w:tblLook w:val="04A0" w:firstRow="1" w:lastRow="0" w:firstColumn="1" w:lastColumn="0" w:noHBand="0" w:noVBand="1"/>
      </w:tblPr>
      <w:tblGrid>
        <w:gridCol w:w="2160"/>
        <w:gridCol w:w="3599"/>
        <w:gridCol w:w="3889"/>
      </w:tblGrid>
      <w:tr w:rsidR="00BA232D" w14:paraId="6537AE90" w14:textId="77777777">
        <w:trPr>
          <w:cantSplit/>
          <w:tblHeader/>
          <w:jc w:val="center"/>
        </w:trPr>
        <w:tc>
          <w:tcPr>
            <w:tcW w:w="2160" w:type="dxa"/>
            <w:shd w:val="clear" w:color="auto" w:fill="1F4E79"/>
          </w:tcPr>
          <w:p w14:paraId="37C78981" w14:textId="77777777" w:rsidR="00BA232D" w:rsidRDefault="00000000">
            <w:pPr>
              <w:spacing w:after="40" w:line="240" w:lineRule="auto"/>
              <w:rPr>
                <w:rFonts w:cs="Arial"/>
              </w:rPr>
            </w:pPr>
            <w:r>
              <w:rPr>
                <w:rFonts w:cs="Arial"/>
                <w:b/>
                <w:color w:val="FFFFFF"/>
                <w:sz w:val="17"/>
              </w:rPr>
              <w:t>Module 1 element</w:t>
            </w:r>
          </w:p>
        </w:tc>
        <w:tc>
          <w:tcPr>
            <w:tcW w:w="3599" w:type="dxa"/>
            <w:shd w:val="clear" w:color="auto" w:fill="1F4E79"/>
          </w:tcPr>
          <w:p w14:paraId="7CF2E3BD" w14:textId="77777777" w:rsidR="00BA232D" w:rsidRDefault="00000000">
            <w:pPr>
              <w:spacing w:after="40" w:line="240" w:lineRule="auto"/>
              <w:rPr>
                <w:rFonts w:cs="Arial"/>
              </w:rPr>
            </w:pPr>
            <w:r>
              <w:rPr>
                <w:rFonts w:cs="Arial"/>
                <w:b/>
                <w:color w:val="FFFFFF"/>
                <w:sz w:val="17"/>
              </w:rPr>
              <w:t>Summary</w:t>
            </w:r>
          </w:p>
        </w:tc>
        <w:tc>
          <w:tcPr>
            <w:tcW w:w="3889" w:type="dxa"/>
            <w:shd w:val="clear" w:color="auto" w:fill="1F4E79"/>
          </w:tcPr>
          <w:p w14:paraId="0D17CD9D" w14:textId="77777777" w:rsidR="00BA232D" w:rsidRDefault="00000000">
            <w:pPr>
              <w:spacing w:after="40" w:line="240" w:lineRule="auto"/>
              <w:rPr>
                <w:rFonts w:cs="Arial"/>
              </w:rPr>
            </w:pPr>
            <w:r>
              <w:rPr>
                <w:rFonts w:cs="Arial"/>
                <w:b/>
                <w:color w:val="FFFFFF"/>
                <w:sz w:val="17"/>
              </w:rPr>
              <w:t>Link to capstone</w:t>
            </w:r>
          </w:p>
        </w:tc>
      </w:tr>
      <w:tr w:rsidR="00BA232D" w14:paraId="70700B71" w14:textId="77777777">
        <w:trPr>
          <w:cantSplit/>
          <w:jc w:val="center"/>
        </w:trPr>
        <w:tc>
          <w:tcPr>
            <w:tcW w:w="2160" w:type="dxa"/>
          </w:tcPr>
          <w:p w14:paraId="2430C2CD" w14:textId="77777777" w:rsidR="00BA232D" w:rsidRDefault="00000000">
            <w:pPr>
              <w:spacing w:after="40" w:line="240" w:lineRule="auto"/>
              <w:rPr>
                <w:rFonts w:cs="Arial"/>
              </w:rPr>
            </w:pPr>
            <w:r>
              <w:rPr>
                <w:rFonts w:cs="Arial"/>
                <w:sz w:val="17"/>
              </w:rPr>
              <w:t>Strategic ambition</w:t>
            </w:r>
          </w:p>
        </w:tc>
        <w:tc>
          <w:tcPr>
            <w:tcW w:w="3599" w:type="dxa"/>
          </w:tcPr>
          <w:p w14:paraId="7DADE8F1" w14:textId="77777777" w:rsidR="00BA232D" w:rsidRDefault="00000000">
            <w:pPr>
              <w:spacing w:after="40" w:line="240" w:lineRule="auto"/>
              <w:rPr>
                <w:rFonts w:cs="Arial"/>
              </w:rPr>
            </w:pPr>
            <w:r>
              <w:rPr>
                <w:rFonts w:cs="Arial"/>
                <w:sz w:val="17"/>
              </w:rPr>
              <w:t>PCAD as PIF's portfolio governance platform.</w:t>
            </w:r>
          </w:p>
        </w:tc>
        <w:tc>
          <w:tcPr>
            <w:tcW w:w="3889" w:type="dxa"/>
          </w:tcPr>
          <w:p w14:paraId="13CE67C7" w14:textId="77777777" w:rsidR="00BA232D" w:rsidRDefault="00000000">
            <w:pPr>
              <w:spacing w:after="40" w:line="240" w:lineRule="auto"/>
              <w:rPr>
                <w:rFonts w:cs="Arial"/>
              </w:rPr>
            </w:pPr>
            <w:r>
              <w:rPr>
                <w:rFonts w:cs="Arial"/>
                <w:sz w:val="17"/>
              </w:rPr>
              <w:t>Secretariat-in-a-Box is a platform component at the Board-meeting level.</w:t>
            </w:r>
          </w:p>
        </w:tc>
      </w:tr>
      <w:tr w:rsidR="00BA232D" w14:paraId="7CEF75AC" w14:textId="77777777">
        <w:trPr>
          <w:cantSplit/>
          <w:jc w:val="center"/>
        </w:trPr>
        <w:tc>
          <w:tcPr>
            <w:tcW w:w="2160" w:type="dxa"/>
            <w:shd w:val="clear" w:color="auto" w:fill="EAF1F7"/>
          </w:tcPr>
          <w:p w14:paraId="1573D934" w14:textId="77777777" w:rsidR="00BA232D" w:rsidRDefault="00000000">
            <w:pPr>
              <w:spacing w:after="40" w:line="240" w:lineRule="auto"/>
              <w:rPr>
                <w:rFonts w:cs="Arial"/>
              </w:rPr>
            </w:pPr>
            <w:r>
              <w:rPr>
                <w:rFonts w:cs="Arial"/>
                <w:sz w:val="17"/>
              </w:rPr>
              <w:t>Controlled stabilisation</w:t>
            </w:r>
          </w:p>
        </w:tc>
        <w:tc>
          <w:tcPr>
            <w:tcW w:w="3599" w:type="dxa"/>
            <w:shd w:val="clear" w:color="auto" w:fill="EAF1F7"/>
          </w:tcPr>
          <w:p w14:paraId="186049C7" w14:textId="77777777" w:rsidR="00BA232D" w:rsidRDefault="00000000">
            <w:pPr>
              <w:spacing w:after="40" w:line="240" w:lineRule="auto"/>
              <w:rPr>
                <w:rFonts w:cs="Arial"/>
              </w:rPr>
            </w:pPr>
            <w:r>
              <w:rPr>
                <w:rFonts w:cs="Arial"/>
                <w:sz w:val="17"/>
              </w:rPr>
              <w:t>Build routines before scaling complexity.</w:t>
            </w:r>
          </w:p>
        </w:tc>
        <w:tc>
          <w:tcPr>
            <w:tcW w:w="3889" w:type="dxa"/>
            <w:shd w:val="clear" w:color="auto" w:fill="EAF1F7"/>
          </w:tcPr>
          <w:p w14:paraId="40FB1F60" w14:textId="77777777" w:rsidR="00BA232D" w:rsidRDefault="00000000">
            <w:pPr>
              <w:spacing w:after="40" w:line="240" w:lineRule="auto"/>
              <w:rPr>
                <w:rFonts w:cs="Arial"/>
              </w:rPr>
            </w:pPr>
            <w:r>
              <w:rPr>
                <w:rFonts w:cs="Arial"/>
                <w:sz w:val="17"/>
              </w:rPr>
              <w:t>The proposal begins with an MVP and pilot before wider deployment.</w:t>
            </w:r>
          </w:p>
        </w:tc>
      </w:tr>
      <w:tr w:rsidR="00BA232D" w14:paraId="7E6D78A7" w14:textId="77777777">
        <w:trPr>
          <w:cantSplit/>
          <w:jc w:val="center"/>
        </w:trPr>
        <w:tc>
          <w:tcPr>
            <w:tcW w:w="2160" w:type="dxa"/>
          </w:tcPr>
          <w:p w14:paraId="0982327C" w14:textId="77777777" w:rsidR="00BA232D" w:rsidRDefault="00000000">
            <w:pPr>
              <w:spacing w:after="40" w:line="240" w:lineRule="auto"/>
              <w:rPr>
                <w:rFonts w:cs="Arial"/>
              </w:rPr>
            </w:pPr>
            <w:r>
              <w:rPr>
                <w:rFonts w:cs="Arial"/>
                <w:sz w:val="17"/>
              </w:rPr>
              <w:t>Decision support</w:t>
            </w:r>
          </w:p>
        </w:tc>
        <w:tc>
          <w:tcPr>
            <w:tcW w:w="3599" w:type="dxa"/>
          </w:tcPr>
          <w:p w14:paraId="62D78135" w14:textId="77777777" w:rsidR="00BA232D" w:rsidRDefault="00000000">
            <w:pPr>
              <w:spacing w:after="40" w:line="240" w:lineRule="auto"/>
              <w:rPr>
                <w:rFonts w:cs="Arial"/>
              </w:rPr>
            </w:pPr>
            <w:r>
              <w:rPr>
                <w:rFonts w:cs="Arial"/>
                <w:sz w:val="17"/>
              </w:rPr>
              <w:t>Create analytical and coordinating capability for the Head of PCAD.</w:t>
            </w:r>
          </w:p>
        </w:tc>
        <w:tc>
          <w:tcPr>
            <w:tcW w:w="3889" w:type="dxa"/>
          </w:tcPr>
          <w:p w14:paraId="0084B702" w14:textId="77777777" w:rsidR="00BA232D" w:rsidRDefault="00000000">
            <w:pPr>
              <w:spacing w:after="40" w:line="240" w:lineRule="auto"/>
              <w:rPr>
                <w:rFonts w:cs="Arial"/>
              </w:rPr>
            </w:pPr>
            <w:r>
              <w:rPr>
                <w:rFonts w:cs="Arial"/>
                <w:sz w:val="17"/>
              </w:rPr>
              <w:t>The platform gives Decision Support a practical tool without changing approval authority.</w:t>
            </w:r>
          </w:p>
        </w:tc>
      </w:tr>
      <w:tr w:rsidR="00BA232D" w14:paraId="39C6E8C5" w14:textId="77777777">
        <w:trPr>
          <w:cantSplit/>
          <w:jc w:val="center"/>
        </w:trPr>
        <w:tc>
          <w:tcPr>
            <w:tcW w:w="2160" w:type="dxa"/>
            <w:shd w:val="clear" w:color="auto" w:fill="EAF1F7"/>
          </w:tcPr>
          <w:p w14:paraId="48BA8FF6" w14:textId="77777777" w:rsidR="00BA232D" w:rsidRDefault="00000000">
            <w:pPr>
              <w:spacing w:after="40" w:line="240" w:lineRule="auto"/>
              <w:rPr>
                <w:rFonts w:cs="Arial"/>
              </w:rPr>
            </w:pPr>
            <w:r>
              <w:rPr>
                <w:rFonts w:cs="Arial"/>
                <w:sz w:val="17"/>
              </w:rPr>
              <w:t>Quality and assurance</w:t>
            </w:r>
          </w:p>
        </w:tc>
        <w:tc>
          <w:tcPr>
            <w:tcW w:w="3599" w:type="dxa"/>
            <w:shd w:val="clear" w:color="auto" w:fill="EAF1F7"/>
          </w:tcPr>
          <w:p w14:paraId="3831A7F6" w14:textId="77777777" w:rsidR="00BA232D" w:rsidRDefault="00000000">
            <w:pPr>
              <w:spacing w:after="40" w:line="240" w:lineRule="auto"/>
              <w:rPr>
                <w:rFonts w:cs="Arial"/>
              </w:rPr>
            </w:pPr>
            <w:r>
              <w:rPr>
                <w:rFonts w:cs="Arial"/>
                <w:sz w:val="17"/>
              </w:rPr>
              <w:t>Improve Board lifecycle quality and reduce rework.</w:t>
            </w:r>
          </w:p>
        </w:tc>
        <w:tc>
          <w:tcPr>
            <w:tcW w:w="3889" w:type="dxa"/>
            <w:shd w:val="clear" w:color="auto" w:fill="EAF1F7"/>
          </w:tcPr>
          <w:p w14:paraId="640548CE" w14:textId="77777777" w:rsidR="00BA232D" w:rsidRDefault="00000000">
            <w:pPr>
              <w:spacing w:after="40" w:line="240" w:lineRule="auto"/>
              <w:rPr>
                <w:rFonts w:cs="Arial"/>
              </w:rPr>
            </w:pPr>
            <w:r>
              <w:rPr>
                <w:rFonts w:cs="Arial"/>
                <w:sz w:val="17"/>
              </w:rPr>
              <w:t>The platform targets agenda, minutes, actions and source-based authority.</w:t>
            </w:r>
          </w:p>
        </w:tc>
      </w:tr>
      <w:tr w:rsidR="00BA232D" w14:paraId="401232CA" w14:textId="77777777">
        <w:trPr>
          <w:cantSplit/>
          <w:jc w:val="center"/>
        </w:trPr>
        <w:tc>
          <w:tcPr>
            <w:tcW w:w="2160" w:type="dxa"/>
          </w:tcPr>
          <w:p w14:paraId="1EDC908E" w14:textId="77777777" w:rsidR="00BA232D" w:rsidRDefault="00000000">
            <w:pPr>
              <w:spacing w:after="40" w:line="240" w:lineRule="auto"/>
              <w:rPr>
                <w:rFonts w:cs="Arial"/>
              </w:rPr>
            </w:pPr>
            <w:r>
              <w:rPr>
                <w:rFonts w:cs="Arial"/>
                <w:sz w:val="17"/>
              </w:rPr>
              <w:t>Technology assumption</w:t>
            </w:r>
          </w:p>
        </w:tc>
        <w:tc>
          <w:tcPr>
            <w:tcW w:w="3599" w:type="dxa"/>
          </w:tcPr>
          <w:p w14:paraId="0EA259E7" w14:textId="77777777" w:rsidR="00BA232D" w:rsidRDefault="00000000">
            <w:pPr>
              <w:spacing w:after="40" w:line="240" w:lineRule="auto"/>
              <w:rPr>
                <w:rFonts w:cs="Arial"/>
              </w:rPr>
            </w:pPr>
            <w:r>
              <w:rPr>
                <w:rFonts w:cs="Arial"/>
                <w:sz w:val="17"/>
              </w:rPr>
              <w:t>Technology helps only after decision routines and data ownership are clear.</w:t>
            </w:r>
          </w:p>
        </w:tc>
        <w:tc>
          <w:tcPr>
            <w:tcW w:w="3889" w:type="dxa"/>
          </w:tcPr>
          <w:p w14:paraId="055F9CE2" w14:textId="77777777" w:rsidR="00BA232D" w:rsidRDefault="00000000">
            <w:pPr>
              <w:spacing w:after="40" w:line="240" w:lineRule="auto"/>
              <w:rPr>
                <w:rFonts w:cs="Arial"/>
              </w:rPr>
            </w:pPr>
            <w:r>
              <w:rPr>
                <w:rFonts w:cs="Arial"/>
                <w:sz w:val="17"/>
              </w:rPr>
              <w:t>The capstone starts with document taxonomy and governance controls before model deployment.</w:t>
            </w:r>
          </w:p>
        </w:tc>
      </w:tr>
    </w:tbl>
    <w:p w14:paraId="15333B10" w14:textId="77777777" w:rsidR="00BA232D" w:rsidRDefault="00BA232D"/>
    <w:p w14:paraId="696D99D2" w14:textId="77777777" w:rsidR="00BA232D" w:rsidRDefault="00BA232D">
      <w:pPr>
        <w:spacing w:after="200" w:line="276" w:lineRule="auto"/>
        <w:rPr>
          <w:rFonts w:cstheme="majorBidi"/>
          <w:b/>
          <w:bCs/>
          <w:color w:val="1F4E79"/>
          <w:sz w:val="32"/>
          <w:szCs w:val="28"/>
        </w:rPr>
      </w:pPr>
    </w:p>
    <w:p w14:paraId="5DE01B40" w14:textId="77777777" w:rsidR="004F5761" w:rsidRDefault="004F5761">
      <w:pPr>
        <w:spacing w:after="0" w:line="240" w:lineRule="auto"/>
        <w:rPr>
          <w:rFonts w:cstheme="majorBidi"/>
          <w:b/>
          <w:bCs/>
          <w:color w:val="1F4E79"/>
          <w:sz w:val="32"/>
          <w:szCs w:val="28"/>
        </w:rPr>
      </w:pPr>
      <w:bookmarkStart w:id="72" w:name="_Toc234699832"/>
      <w:r>
        <w:br w:type="page"/>
      </w:r>
    </w:p>
    <w:p w14:paraId="2CB2F24B" w14:textId="670C4C83" w:rsidR="00BA232D" w:rsidRDefault="00000000">
      <w:pPr>
        <w:pStyle w:val="Heading1"/>
        <w:spacing w:before="280" w:after="120"/>
      </w:pPr>
      <w:bookmarkStart w:id="73" w:name="_Toc234702434"/>
      <w:r>
        <w:rPr>
          <w:rFonts w:ascii="Arial" w:eastAsia="Arial" w:hAnsi="Arial"/>
        </w:rPr>
        <w:lastRenderedPageBreak/>
        <w:t>Appendix C: Summary of Module 2 (PCAD Collaborative Decision Architecture)</w:t>
      </w:r>
      <w:bookmarkEnd w:id="72"/>
      <w:bookmarkEnd w:id="73"/>
    </w:p>
    <w:p w14:paraId="6805FB63" w14:textId="77777777" w:rsidR="00BA232D" w:rsidRDefault="00000000" w:rsidP="004F5761">
      <w:pPr>
        <w:spacing w:line="276" w:lineRule="auto"/>
        <w:jc w:val="lowKashida"/>
      </w:pPr>
      <w:r>
        <w:t>Module 2 created an integrated problem-solving and decision-making model (DECIDE) for collaborative, adaptive solutions for PCAD, PIF and portfolio company adaptability. In addition to demonstrating that PCAD needs neither additional forums nor new templates, it made the case that what PCAD requires is a single, proportional decision-making model which integrates collaboration into the design process early on.</w:t>
      </w:r>
    </w:p>
    <w:p w14:paraId="488A047E" w14:textId="77777777" w:rsidR="00BA232D" w:rsidRDefault="00000000" w:rsidP="004F5761">
      <w:pPr>
        <w:spacing w:line="276" w:lineRule="auto"/>
        <w:jc w:val="lowKashida"/>
      </w:pPr>
      <w:r>
        <w:t>The model uses a six-step DECIDE model: Detect &amp; Define; Establish Evidence, Rights and Route; Co-create Causes &amp; Options; Interrogate Assumptions, Risks &amp; Implementation; Decide, Document &amp; Deploy; Evaluate, Learn &amp; Evolve.</w:t>
      </w:r>
    </w:p>
    <w:p w14:paraId="71DB3574" w14:textId="77777777" w:rsidR="00BA232D" w:rsidRDefault="00000000" w:rsidP="004F5761">
      <w:pPr>
        <w:spacing w:line="276" w:lineRule="auto"/>
        <w:jc w:val="lowKashida"/>
      </w:pPr>
      <w:r>
        <w:t xml:space="preserve"> A key distinction of Module 2 was Dual-Lens Triage. Matters are classified both by Decision Type and Problem Context. As such, Routine Issues can be processed efficiently, while Strategic, Cross Functional and Uncertain issues will receive more in-depth analysis. Additionally, Module 2 addressed Voice vs. Vote, assigned One Accountable Owner per Matter, tracked decision Debt and recognized Learning as a Control System.</w:t>
      </w:r>
    </w:p>
    <w:p w14:paraId="019EA1A0" w14:textId="77777777" w:rsidR="00BA232D" w:rsidRDefault="00000000" w:rsidP="004F5761">
      <w:pPr>
        <w:spacing w:line="276" w:lineRule="auto"/>
        <w:jc w:val="lowKashida"/>
      </w:pPr>
      <w:r>
        <w:t>This capstone follows the same principles, placing the majority of Secretariat-in-a-Box functionality at the Delegated and Recurring level. Therefore, Human Deliberation remains available for those decisions that warrant consideration.</w:t>
      </w:r>
    </w:p>
    <w:p w14:paraId="3DAB1B9E" w14:textId="77777777" w:rsidR="00BA232D" w:rsidRDefault="00000000">
      <w:pPr>
        <w:pStyle w:val="Caption"/>
        <w:spacing w:before="120" w:after="40"/>
      </w:pPr>
      <w:r>
        <w:rPr>
          <w:b/>
        </w:rPr>
        <w:t>Table C1. Module 2 summary and linkage.</w:t>
      </w:r>
    </w:p>
    <w:tbl>
      <w:tblPr>
        <w:tblStyle w:val="TableGrid"/>
        <w:tblW w:w="9648" w:type="dxa"/>
        <w:jc w:val="center"/>
        <w:tblLayout w:type="fixed"/>
        <w:tblLook w:val="04A0" w:firstRow="1" w:lastRow="0" w:firstColumn="1" w:lastColumn="0" w:noHBand="0" w:noVBand="1"/>
      </w:tblPr>
      <w:tblGrid>
        <w:gridCol w:w="2160"/>
        <w:gridCol w:w="3599"/>
        <w:gridCol w:w="3889"/>
      </w:tblGrid>
      <w:tr w:rsidR="00BA232D" w14:paraId="21E313E6" w14:textId="77777777">
        <w:trPr>
          <w:cantSplit/>
          <w:tblHeader/>
          <w:jc w:val="center"/>
        </w:trPr>
        <w:tc>
          <w:tcPr>
            <w:tcW w:w="2160" w:type="dxa"/>
            <w:shd w:val="clear" w:color="auto" w:fill="1F4E79"/>
          </w:tcPr>
          <w:p w14:paraId="684F417B" w14:textId="77777777" w:rsidR="00BA232D" w:rsidRDefault="00000000">
            <w:pPr>
              <w:spacing w:after="40" w:line="240" w:lineRule="auto"/>
              <w:rPr>
                <w:rFonts w:cs="Arial"/>
              </w:rPr>
            </w:pPr>
            <w:r>
              <w:rPr>
                <w:rFonts w:cs="Arial"/>
                <w:b/>
                <w:color w:val="FFFFFF"/>
                <w:sz w:val="17"/>
              </w:rPr>
              <w:t>Module 2 element</w:t>
            </w:r>
          </w:p>
        </w:tc>
        <w:tc>
          <w:tcPr>
            <w:tcW w:w="3599" w:type="dxa"/>
            <w:shd w:val="clear" w:color="auto" w:fill="1F4E79"/>
          </w:tcPr>
          <w:p w14:paraId="4390031F" w14:textId="77777777" w:rsidR="00BA232D" w:rsidRDefault="00000000">
            <w:pPr>
              <w:spacing w:after="40" w:line="240" w:lineRule="auto"/>
              <w:rPr>
                <w:rFonts w:cs="Arial"/>
              </w:rPr>
            </w:pPr>
            <w:r>
              <w:rPr>
                <w:rFonts w:cs="Arial"/>
                <w:b/>
                <w:color w:val="FFFFFF"/>
                <w:sz w:val="17"/>
              </w:rPr>
              <w:t>Summary</w:t>
            </w:r>
          </w:p>
        </w:tc>
        <w:tc>
          <w:tcPr>
            <w:tcW w:w="3889" w:type="dxa"/>
            <w:shd w:val="clear" w:color="auto" w:fill="1F4E79"/>
          </w:tcPr>
          <w:p w14:paraId="06D48446" w14:textId="77777777" w:rsidR="00BA232D" w:rsidRDefault="00000000">
            <w:pPr>
              <w:spacing w:after="40" w:line="240" w:lineRule="auto"/>
              <w:rPr>
                <w:rFonts w:cs="Arial"/>
              </w:rPr>
            </w:pPr>
            <w:r>
              <w:rPr>
                <w:rFonts w:cs="Arial"/>
                <w:b/>
                <w:color w:val="FFFFFF"/>
                <w:sz w:val="17"/>
              </w:rPr>
              <w:t>Link to capstone</w:t>
            </w:r>
          </w:p>
        </w:tc>
      </w:tr>
      <w:tr w:rsidR="00BA232D" w14:paraId="1EFFCF6B" w14:textId="77777777">
        <w:trPr>
          <w:cantSplit/>
          <w:jc w:val="center"/>
        </w:trPr>
        <w:tc>
          <w:tcPr>
            <w:tcW w:w="2160" w:type="dxa"/>
          </w:tcPr>
          <w:p w14:paraId="1F7F2750" w14:textId="77777777" w:rsidR="00BA232D" w:rsidRDefault="00000000">
            <w:pPr>
              <w:spacing w:after="40" w:line="240" w:lineRule="auto"/>
              <w:rPr>
                <w:rFonts w:cs="Arial"/>
              </w:rPr>
            </w:pPr>
            <w:r>
              <w:rPr>
                <w:rFonts w:cs="Arial"/>
                <w:sz w:val="17"/>
              </w:rPr>
              <w:t>DECIDE cycle</w:t>
            </w:r>
          </w:p>
        </w:tc>
        <w:tc>
          <w:tcPr>
            <w:tcW w:w="3599" w:type="dxa"/>
          </w:tcPr>
          <w:p w14:paraId="6C13E9D9" w14:textId="77777777" w:rsidR="00BA232D" w:rsidRDefault="00000000">
            <w:pPr>
              <w:spacing w:after="40" w:line="240" w:lineRule="auto"/>
              <w:rPr>
                <w:rFonts w:cs="Arial"/>
              </w:rPr>
            </w:pPr>
            <w:r>
              <w:rPr>
                <w:rFonts w:cs="Arial"/>
                <w:sz w:val="17"/>
              </w:rPr>
              <w:t>A repeatable process for turning ambiguity into action.</w:t>
            </w:r>
          </w:p>
        </w:tc>
        <w:tc>
          <w:tcPr>
            <w:tcW w:w="3889" w:type="dxa"/>
          </w:tcPr>
          <w:p w14:paraId="52FF161A" w14:textId="77777777" w:rsidR="00BA232D" w:rsidRDefault="00000000">
            <w:pPr>
              <w:spacing w:after="40" w:line="240" w:lineRule="auto"/>
              <w:rPr>
                <w:rFonts w:cs="Arial"/>
              </w:rPr>
            </w:pPr>
            <w:r>
              <w:rPr>
                <w:rFonts w:cs="Arial"/>
                <w:sz w:val="17"/>
              </w:rPr>
              <w:t>The platform supports detect, document, deploy and learn stages through records and action tracking.</w:t>
            </w:r>
          </w:p>
        </w:tc>
      </w:tr>
      <w:tr w:rsidR="00BA232D" w14:paraId="3DF1CD98" w14:textId="77777777">
        <w:trPr>
          <w:cantSplit/>
          <w:jc w:val="center"/>
        </w:trPr>
        <w:tc>
          <w:tcPr>
            <w:tcW w:w="2160" w:type="dxa"/>
            <w:shd w:val="clear" w:color="auto" w:fill="EAF1F7"/>
          </w:tcPr>
          <w:p w14:paraId="56C50BE5" w14:textId="77777777" w:rsidR="00BA232D" w:rsidRDefault="00000000">
            <w:pPr>
              <w:spacing w:after="40" w:line="240" w:lineRule="auto"/>
              <w:rPr>
                <w:rFonts w:cs="Arial"/>
              </w:rPr>
            </w:pPr>
            <w:r>
              <w:rPr>
                <w:rFonts w:cs="Arial"/>
                <w:sz w:val="17"/>
              </w:rPr>
              <w:t>Dual-lens triage</w:t>
            </w:r>
          </w:p>
        </w:tc>
        <w:tc>
          <w:tcPr>
            <w:tcW w:w="3599" w:type="dxa"/>
            <w:shd w:val="clear" w:color="auto" w:fill="EAF1F7"/>
          </w:tcPr>
          <w:p w14:paraId="606629BB" w14:textId="77777777" w:rsidR="00BA232D" w:rsidRDefault="00000000">
            <w:pPr>
              <w:spacing w:after="40" w:line="240" w:lineRule="auto"/>
              <w:rPr>
                <w:rFonts w:cs="Arial"/>
              </w:rPr>
            </w:pPr>
            <w:r>
              <w:rPr>
                <w:rFonts w:cs="Arial"/>
                <w:sz w:val="17"/>
              </w:rPr>
              <w:t>Route by decision type and uncertainty.</w:t>
            </w:r>
          </w:p>
        </w:tc>
        <w:tc>
          <w:tcPr>
            <w:tcW w:w="3889" w:type="dxa"/>
            <w:shd w:val="clear" w:color="auto" w:fill="EAF1F7"/>
          </w:tcPr>
          <w:p w14:paraId="4A5BC718" w14:textId="77777777" w:rsidR="00BA232D" w:rsidRDefault="00000000">
            <w:pPr>
              <w:spacing w:after="40" w:line="240" w:lineRule="auto"/>
              <w:rPr>
                <w:rFonts w:cs="Arial"/>
              </w:rPr>
            </w:pPr>
            <w:r>
              <w:rPr>
                <w:rFonts w:cs="Arial"/>
                <w:sz w:val="17"/>
              </w:rPr>
              <w:t>The platform is positioned for routine and recurring governance work first.</w:t>
            </w:r>
          </w:p>
        </w:tc>
      </w:tr>
      <w:tr w:rsidR="00BA232D" w14:paraId="61C8B0CB" w14:textId="77777777">
        <w:trPr>
          <w:cantSplit/>
          <w:jc w:val="center"/>
        </w:trPr>
        <w:tc>
          <w:tcPr>
            <w:tcW w:w="2160" w:type="dxa"/>
          </w:tcPr>
          <w:p w14:paraId="00690CF3" w14:textId="77777777" w:rsidR="00BA232D" w:rsidRDefault="00000000">
            <w:pPr>
              <w:spacing w:after="40" w:line="240" w:lineRule="auto"/>
              <w:rPr>
                <w:rFonts w:cs="Arial"/>
              </w:rPr>
            </w:pPr>
            <w:r>
              <w:rPr>
                <w:rFonts w:cs="Arial"/>
                <w:sz w:val="17"/>
              </w:rPr>
              <w:t>Voice, vote and validation</w:t>
            </w:r>
          </w:p>
        </w:tc>
        <w:tc>
          <w:tcPr>
            <w:tcW w:w="3599" w:type="dxa"/>
          </w:tcPr>
          <w:p w14:paraId="592279C0" w14:textId="77777777" w:rsidR="00BA232D" w:rsidRDefault="00000000">
            <w:pPr>
              <w:spacing w:after="40" w:line="240" w:lineRule="auto"/>
              <w:rPr>
                <w:rFonts w:cs="Arial"/>
              </w:rPr>
            </w:pPr>
            <w:r>
              <w:rPr>
                <w:rFonts w:cs="Arial"/>
                <w:sz w:val="17"/>
              </w:rPr>
              <w:t>Separates input, authority and assurance.</w:t>
            </w:r>
          </w:p>
        </w:tc>
        <w:tc>
          <w:tcPr>
            <w:tcW w:w="3889" w:type="dxa"/>
          </w:tcPr>
          <w:p w14:paraId="1AA5B2CA" w14:textId="77777777" w:rsidR="00BA232D" w:rsidRDefault="00000000">
            <w:pPr>
              <w:spacing w:after="40" w:line="240" w:lineRule="auto"/>
              <w:rPr>
                <w:rFonts w:cs="Arial"/>
              </w:rPr>
            </w:pPr>
            <w:r>
              <w:rPr>
                <w:rFonts w:cs="Arial"/>
                <w:sz w:val="17"/>
              </w:rPr>
              <w:t>The platform supports assurance but does not approve decisions.</w:t>
            </w:r>
          </w:p>
        </w:tc>
      </w:tr>
      <w:tr w:rsidR="00BA232D" w14:paraId="690722CF" w14:textId="77777777">
        <w:trPr>
          <w:cantSplit/>
          <w:jc w:val="center"/>
        </w:trPr>
        <w:tc>
          <w:tcPr>
            <w:tcW w:w="2160" w:type="dxa"/>
            <w:shd w:val="clear" w:color="auto" w:fill="EAF1F7"/>
          </w:tcPr>
          <w:p w14:paraId="6B334B89" w14:textId="77777777" w:rsidR="00BA232D" w:rsidRDefault="00000000">
            <w:pPr>
              <w:spacing w:after="40" w:line="240" w:lineRule="auto"/>
              <w:rPr>
                <w:rFonts w:cs="Arial"/>
              </w:rPr>
            </w:pPr>
            <w:r>
              <w:rPr>
                <w:rFonts w:cs="Arial"/>
                <w:sz w:val="17"/>
              </w:rPr>
              <w:t>Pilot discipline</w:t>
            </w:r>
          </w:p>
        </w:tc>
        <w:tc>
          <w:tcPr>
            <w:tcW w:w="3599" w:type="dxa"/>
            <w:shd w:val="clear" w:color="auto" w:fill="EAF1F7"/>
          </w:tcPr>
          <w:p w14:paraId="29E5C746" w14:textId="77777777" w:rsidR="00BA232D" w:rsidRDefault="00000000">
            <w:pPr>
              <w:spacing w:after="40" w:line="240" w:lineRule="auto"/>
              <w:rPr>
                <w:rFonts w:cs="Arial"/>
              </w:rPr>
            </w:pPr>
            <w:r>
              <w:rPr>
                <w:rFonts w:cs="Arial"/>
                <w:sz w:val="17"/>
              </w:rPr>
              <w:t>No benefit claim without baseline and post-pilot evidence.</w:t>
            </w:r>
          </w:p>
        </w:tc>
        <w:tc>
          <w:tcPr>
            <w:tcW w:w="3889" w:type="dxa"/>
            <w:shd w:val="clear" w:color="auto" w:fill="EAF1F7"/>
          </w:tcPr>
          <w:p w14:paraId="6F1A8FAF" w14:textId="77777777" w:rsidR="00BA232D" w:rsidRDefault="00000000">
            <w:pPr>
              <w:spacing w:after="40" w:line="240" w:lineRule="auto"/>
              <w:rPr>
                <w:rFonts w:cs="Arial"/>
              </w:rPr>
            </w:pPr>
            <w:r>
              <w:rPr>
                <w:rFonts w:cs="Arial"/>
                <w:sz w:val="17"/>
              </w:rPr>
              <w:t>The capstone requires measured pilot evidence before scale.</w:t>
            </w:r>
          </w:p>
        </w:tc>
      </w:tr>
      <w:tr w:rsidR="00BA232D" w14:paraId="7B9CAA7D" w14:textId="77777777">
        <w:trPr>
          <w:cantSplit/>
          <w:jc w:val="center"/>
        </w:trPr>
        <w:tc>
          <w:tcPr>
            <w:tcW w:w="2160" w:type="dxa"/>
          </w:tcPr>
          <w:p w14:paraId="51CF5150" w14:textId="77777777" w:rsidR="00BA232D" w:rsidRDefault="00000000">
            <w:pPr>
              <w:spacing w:after="40" w:line="240" w:lineRule="auto"/>
              <w:rPr>
                <w:rFonts w:cs="Arial"/>
              </w:rPr>
            </w:pPr>
            <w:r>
              <w:rPr>
                <w:rFonts w:cs="Arial"/>
                <w:sz w:val="17"/>
              </w:rPr>
              <w:t>Learning loop</w:t>
            </w:r>
          </w:p>
        </w:tc>
        <w:tc>
          <w:tcPr>
            <w:tcW w:w="3599" w:type="dxa"/>
          </w:tcPr>
          <w:p w14:paraId="196F5C68" w14:textId="77777777" w:rsidR="00BA232D" w:rsidRDefault="00000000">
            <w:pPr>
              <w:spacing w:after="40" w:line="240" w:lineRule="auto"/>
              <w:rPr>
                <w:rFonts w:cs="Arial"/>
              </w:rPr>
            </w:pPr>
            <w:r>
              <w:rPr>
                <w:rFonts w:cs="Arial"/>
                <w:sz w:val="17"/>
              </w:rPr>
              <w:t>Major decisions leave reusable organisational memory.</w:t>
            </w:r>
          </w:p>
        </w:tc>
        <w:tc>
          <w:tcPr>
            <w:tcW w:w="3889" w:type="dxa"/>
          </w:tcPr>
          <w:p w14:paraId="6038BC4C" w14:textId="77777777" w:rsidR="00BA232D" w:rsidRDefault="00000000">
            <w:pPr>
              <w:spacing w:after="40" w:line="240" w:lineRule="auto"/>
              <w:rPr>
                <w:rFonts w:cs="Arial"/>
              </w:rPr>
            </w:pPr>
            <w:r>
              <w:rPr>
                <w:rFonts w:cs="Arial"/>
                <w:sz w:val="17"/>
              </w:rPr>
              <w:t>The platform makes corporate memory searchable and structured.</w:t>
            </w:r>
          </w:p>
        </w:tc>
      </w:tr>
    </w:tbl>
    <w:p w14:paraId="4445796B" w14:textId="77777777" w:rsidR="00BA232D" w:rsidRDefault="00BA232D"/>
    <w:p w14:paraId="384FC906" w14:textId="77777777" w:rsidR="00BA232D" w:rsidRDefault="00BA232D">
      <w:pPr>
        <w:spacing w:after="200" w:line="276" w:lineRule="auto"/>
        <w:rPr>
          <w:rFonts w:cstheme="majorBidi"/>
          <w:b/>
          <w:bCs/>
          <w:color w:val="1F4E79"/>
          <w:sz w:val="32"/>
          <w:szCs w:val="28"/>
        </w:rPr>
      </w:pPr>
    </w:p>
    <w:p w14:paraId="152C40AB" w14:textId="77777777" w:rsidR="004F5761" w:rsidRDefault="004F5761">
      <w:pPr>
        <w:spacing w:after="0" w:line="240" w:lineRule="auto"/>
        <w:rPr>
          <w:rFonts w:cstheme="majorBidi"/>
          <w:b/>
          <w:bCs/>
          <w:color w:val="1F4E79"/>
          <w:sz w:val="32"/>
          <w:szCs w:val="28"/>
        </w:rPr>
      </w:pPr>
      <w:bookmarkStart w:id="74" w:name="_Toc234699833"/>
      <w:r>
        <w:br w:type="page"/>
      </w:r>
    </w:p>
    <w:p w14:paraId="67DFCC23" w14:textId="79824209" w:rsidR="00BA232D" w:rsidRDefault="00000000">
      <w:pPr>
        <w:pStyle w:val="Heading1"/>
        <w:spacing w:before="280" w:after="120"/>
      </w:pPr>
      <w:bookmarkStart w:id="75" w:name="_Toc234702435"/>
      <w:r>
        <w:rPr>
          <w:rFonts w:ascii="Arial" w:eastAsia="Arial" w:hAnsi="Arial"/>
        </w:rPr>
        <w:lastRenderedPageBreak/>
        <w:t>Appendix D: Student Task Completion Checklist</w:t>
      </w:r>
      <w:bookmarkEnd w:id="74"/>
      <w:bookmarkEnd w:id="75"/>
    </w:p>
    <w:p w14:paraId="0FA73635" w14:textId="77777777" w:rsidR="00BA232D" w:rsidRDefault="00000000">
      <w:r>
        <w:t>The checklist below shows how the report satisfies the four Module 3 learning outcomes.</w:t>
      </w:r>
    </w:p>
    <w:p w14:paraId="1CD73A6A" w14:textId="77777777" w:rsidR="00BA232D" w:rsidRDefault="00000000">
      <w:pPr>
        <w:pStyle w:val="Caption"/>
        <w:spacing w:before="120" w:after="40"/>
      </w:pPr>
      <w:r>
        <w:rPr>
          <w:b/>
        </w:rPr>
        <w:t>Table D1. Learning outcome completion checklist.</w:t>
      </w:r>
    </w:p>
    <w:tbl>
      <w:tblPr>
        <w:tblStyle w:val="TableGrid"/>
        <w:tblW w:w="9736" w:type="dxa"/>
        <w:jc w:val="center"/>
        <w:tblLayout w:type="fixed"/>
        <w:tblLook w:val="04A0" w:firstRow="1" w:lastRow="0" w:firstColumn="1" w:lastColumn="0" w:noHBand="0" w:noVBand="1"/>
      </w:tblPr>
      <w:tblGrid>
        <w:gridCol w:w="2579"/>
        <w:gridCol w:w="5150"/>
        <w:gridCol w:w="2007"/>
      </w:tblGrid>
      <w:tr w:rsidR="00BA232D" w14:paraId="250DA469" w14:textId="77777777">
        <w:trPr>
          <w:cantSplit/>
          <w:tblHeader/>
          <w:jc w:val="center"/>
        </w:trPr>
        <w:tc>
          <w:tcPr>
            <w:tcW w:w="2579" w:type="dxa"/>
            <w:shd w:val="clear" w:color="auto" w:fill="1F4E79"/>
          </w:tcPr>
          <w:p w14:paraId="07E8BFF7" w14:textId="77777777" w:rsidR="00BA232D" w:rsidRDefault="00000000">
            <w:pPr>
              <w:spacing w:after="40" w:line="240" w:lineRule="auto"/>
              <w:rPr>
                <w:rFonts w:cs="Arial"/>
              </w:rPr>
            </w:pPr>
            <w:r>
              <w:rPr>
                <w:rFonts w:cs="Arial"/>
                <w:b/>
                <w:color w:val="FFFFFF"/>
                <w:sz w:val="17"/>
              </w:rPr>
              <w:t>Learning outcome</w:t>
            </w:r>
          </w:p>
        </w:tc>
        <w:tc>
          <w:tcPr>
            <w:tcW w:w="5150" w:type="dxa"/>
            <w:shd w:val="clear" w:color="auto" w:fill="1F4E79"/>
          </w:tcPr>
          <w:p w14:paraId="071916D7" w14:textId="77777777" w:rsidR="00BA232D" w:rsidRDefault="00000000">
            <w:pPr>
              <w:spacing w:after="40" w:line="240" w:lineRule="auto"/>
              <w:rPr>
                <w:rFonts w:cs="Arial"/>
              </w:rPr>
            </w:pPr>
            <w:r>
              <w:rPr>
                <w:rFonts w:cs="Arial"/>
                <w:b/>
                <w:color w:val="FFFFFF"/>
                <w:sz w:val="17"/>
              </w:rPr>
              <w:t>How the report fulfils the outcome</w:t>
            </w:r>
          </w:p>
        </w:tc>
        <w:tc>
          <w:tcPr>
            <w:tcW w:w="2007" w:type="dxa"/>
            <w:shd w:val="clear" w:color="auto" w:fill="1F4E79"/>
          </w:tcPr>
          <w:p w14:paraId="688DDABE" w14:textId="77777777" w:rsidR="00BA232D" w:rsidRDefault="00000000">
            <w:pPr>
              <w:spacing w:after="40" w:line="240" w:lineRule="auto"/>
              <w:rPr>
                <w:rFonts w:cs="Arial"/>
              </w:rPr>
            </w:pPr>
            <w:r>
              <w:rPr>
                <w:rFonts w:cs="Arial"/>
                <w:b/>
                <w:color w:val="FFFFFF"/>
                <w:sz w:val="17"/>
              </w:rPr>
              <w:t>Main evidence in report</w:t>
            </w:r>
          </w:p>
        </w:tc>
      </w:tr>
      <w:tr w:rsidR="00BA232D" w14:paraId="7974E078" w14:textId="77777777">
        <w:trPr>
          <w:cantSplit/>
          <w:jc w:val="center"/>
        </w:trPr>
        <w:tc>
          <w:tcPr>
            <w:tcW w:w="2579" w:type="dxa"/>
          </w:tcPr>
          <w:p w14:paraId="17690D83" w14:textId="77777777" w:rsidR="00BA232D" w:rsidRDefault="00000000">
            <w:pPr>
              <w:spacing w:after="40" w:line="240" w:lineRule="auto"/>
              <w:rPr>
                <w:rFonts w:cs="Arial"/>
              </w:rPr>
            </w:pPr>
            <w:r>
              <w:rPr>
                <w:rFonts w:cs="Arial"/>
                <w:sz w:val="17"/>
              </w:rPr>
              <w:t>LO1: Demonstrate knowledge of the most advanced frontiers of a field of work.</w:t>
            </w:r>
          </w:p>
        </w:tc>
        <w:tc>
          <w:tcPr>
            <w:tcW w:w="5150" w:type="dxa"/>
          </w:tcPr>
          <w:p w14:paraId="34382B5D" w14:textId="77777777" w:rsidR="00BA232D" w:rsidRDefault="00000000">
            <w:pPr>
              <w:spacing w:after="40" w:line="240" w:lineRule="auto"/>
              <w:rPr>
                <w:rFonts w:cs="Arial"/>
              </w:rPr>
            </w:pPr>
            <w:r>
              <w:rPr>
                <w:rFonts w:cs="Arial"/>
                <w:sz w:val="17"/>
              </w:rPr>
              <w:t>The report engages with frontier developments in local generative AI, retrieval-augmented generation, AI risk management, AI management systems, data sovereignty, post-Covid digital governance and Board assurance.</w:t>
            </w:r>
          </w:p>
        </w:tc>
        <w:tc>
          <w:tcPr>
            <w:tcW w:w="2007" w:type="dxa"/>
          </w:tcPr>
          <w:p w14:paraId="69E46147" w14:textId="77777777" w:rsidR="00BA232D" w:rsidRDefault="00000000">
            <w:pPr>
              <w:spacing w:after="40" w:line="240" w:lineRule="auto"/>
              <w:rPr>
                <w:rFonts w:cs="Arial"/>
              </w:rPr>
            </w:pPr>
            <w:r>
              <w:rPr>
                <w:rFonts w:cs="Arial"/>
                <w:sz w:val="17"/>
              </w:rPr>
              <w:t>Sections 2, 5, 7 and 9.</w:t>
            </w:r>
          </w:p>
        </w:tc>
      </w:tr>
      <w:tr w:rsidR="00BA232D" w14:paraId="16871E31" w14:textId="77777777">
        <w:trPr>
          <w:cantSplit/>
          <w:jc w:val="center"/>
        </w:trPr>
        <w:tc>
          <w:tcPr>
            <w:tcW w:w="2579" w:type="dxa"/>
            <w:shd w:val="clear" w:color="auto" w:fill="EAF1F7"/>
          </w:tcPr>
          <w:p w14:paraId="13D44938" w14:textId="77777777" w:rsidR="00BA232D" w:rsidRDefault="00000000">
            <w:pPr>
              <w:spacing w:after="40" w:line="240" w:lineRule="auto"/>
              <w:rPr>
                <w:rFonts w:cs="Arial"/>
              </w:rPr>
            </w:pPr>
            <w:r>
              <w:rPr>
                <w:rFonts w:cs="Arial"/>
                <w:sz w:val="17"/>
              </w:rPr>
              <w:t>LO2: Demonstrate the most advanced and specialised skills and techniques, including synthesis and evaluation, required to solve critical business problems and extend or redefine professional practice.</w:t>
            </w:r>
          </w:p>
        </w:tc>
        <w:tc>
          <w:tcPr>
            <w:tcW w:w="5150" w:type="dxa"/>
            <w:shd w:val="clear" w:color="auto" w:fill="EAF1F7"/>
          </w:tcPr>
          <w:p w14:paraId="520992EE" w14:textId="77777777" w:rsidR="00BA232D" w:rsidRDefault="00000000">
            <w:pPr>
              <w:spacing w:after="40" w:line="240" w:lineRule="auto"/>
              <w:rPr>
                <w:rFonts w:cs="Arial"/>
              </w:rPr>
            </w:pPr>
            <w:r>
              <w:rPr>
                <w:rFonts w:cs="Arial"/>
                <w:sz w:val="17"/>
              </w:rPr>
              <w:t>The report synthesises corporate governance, innovation theory, AI governance, strategy, decision architecture and practice-based evidence; it evaluates three options and converts the preferred option into a controlled operating model.</w:t>
            </w:r>
          </w:p>
        </w:tc>
        <w:tc>
          <w:tcPr>
            <w:tcW w:w="2007" w:type="dxa"/>
            <w:shd w:val="clear" w:color="auto" w:fill="EAF1F7"/>
          </w:tcPr>
          <w:p w14:paraId="54568708" w14:textId="77777777" w:rsidR="00BA232D" w:rsidRDefault="00000000">
            <w:pPr>
              <w:spacing w:after="40" w:line="240" w:lineRule="auto"/>
              <w:rPr>
                <w:rFonts w:cs="Arial"/>
              </w:rPr>
            </w:pPr>
            <w:r>
              <w:rPr>
                <w:rFonts w:cs="Arial"/>
                <w:sz w:val="17"/>
              </w:rPr>
              <w:t>Sections 3, 4, 5, 6 and 7.</w:t>
            </w:r>
          </w:p>
        </w:tc>
      </w:tr>
      <w:tr w:rsidR="00BA232D" w14:paraId="5894E45D" w14:textId="77777777">
        <w:trPr>
          <w:cantSplit/>
          <w:jc w:val="center"/>
        </w:trPr>
        <w:tc>
          <w:tcPr>
            <w:tcW w:w="2579" w:type="dxa"/>
          </w:tcPr>
          <w:p w14:paraId="589E00EF" w14:textId="77777777" w:rsidR="00BA232D" w:rsidRDefault="00000000">
            <w:pPr>
              <w:spacing w:after="40" w:line="240" w:lineRule="auto"/>
              <w:rPr>
                <w:rFonts w:cs="Arial"/>
              </w:rPr>
            </w:pPr>
            <w:r>
              <w:rPr>
                <w:rFonts w:cs="Arial"/>
                <w:sz w:val="17"/>
              </w:rPr>
              <w:t>LO3: Demonstrate substantial authority, innovation, autonomy and professional integrity.</w:t>
            </w:r>
          </w:p>
        </w:tc>
        <w:tc>
          <w:tcPr>
            <w:tcW w:w="5150" w:type="dxa"/>
          </w:tcPr>
          <w:p w14:paraId="4096C770" w14:textId="77777777" w:rsidR="00BA232D" w:rsidRDefault="00000000">
            <w:pPr>
              <w:spacing w:after="40" w:line="240" w:lineRule="auto"/>
              <w:rPr>
                <w:rFonts w:cs="Arial"/>
              </w:rPr>
            </w:pPr>
            <w:r>
              <w:rPr>
                <w:rFonts w:cs="Arial"/>
                <w:sz w:val="17"/>
              </w:rPr>
              <w:t>The report is grounded in the author's acting PCAD Decision Support role, confronts risks honestly, keeps accountability human, defines claim boundaries, and tests the proposal from the Chairperson, CEO and PCAD governance-guardian vantage points.</w:t>
            </w:r>
          </w:p>
        </w:tc>
        <w:tc>
          <w:tcPr>
            <w:tcW w:w="2007" w:type="dxa"/>
          </w:tcPr>
          <w:p w14:paraId="736DDBC4" w14:textId="77777777" w:rsidR="00BA232D" w:rsidRDefault="00000000">
            <w:pPr>
              <w:spacing w:after="40" w:line="240" w:lineRule="auto"/>
              <w:rPr>
                <w:rFonts w:cs="Arial"/>
              </w:rPr>
            </w:pPr>
            <w:r>
              <w:rPr>
                <w:rFonts w:cs="Arial"/>
                <w:sz w:val="17"/>
              </w:rPr>
              <w:t>Sections 1, 7, 10 and 11.</w:t>
            </w:r>
          </w:p>
        </w:tc>
      </w:tr>
      <w:tr w:rsidR="00BA232D" w14:paraId="29F25E5D" w14:textId="77777777">
        <w:trPr>
          <w:cantSplit/>
          <w:jc w:val="center"/>
        </w:trPr>
        <w:tc>
          <w:tcPr>
            <w:tcW w:w="2579" w:type="dxa"/>
            <w:shd w:val="clear" w:color="auto" w:fill="EAF1F7"/>
          </w:tcPr>
          <w:p w14:paraId="6309AEDB" w14:textId="77777777" w:rsidR="00BA232D" w:rsidRDefault="00000000">
            <w:pPr>
              <w:spacing w:after="40" w:line="240" w:lineRule="auto"/>
              <w:rPr>
                <w:rFonts w:cs="Arial"/>
              </w:rPr>
            </w:pPr>
            <w:r>
              <w:rPr>
                <w:rFonts w:cs="Arial"/>
                <w:sz w:val="17"/>
              </w:rPr>
              <w:t>LO4: Develop new ideas or processes at the forefront of work.</w:t>
            </w:r>
          </w:p>
        </w:tc>
        <w:tc>
          <w:tcPr>
            <w:tcW w:w="5150" w:type="dxa"/>
            <w:shd w:val="clear" w:color="auto" w:fill="EAF1F7"/>
          </w:tcPr>
          <w:p w14:paraId="0585F70E" w14:textId="77777777" w:rsidR="00BA232D" w:rsidRDefault="00000000">
            <w:pPr>
              <w:spacing w:after="40" w:line="240" w:lineRule="auto"/>
              <w:rPr>
                <w:rFonts w:cs="Arial"/>
              </w:rPr>
            </w:pPr>
            <w:r>
              <w:rPr>
                <w:rFonts w:cs="Arial"/>
                <w:sz w:val="17"/>
              </w:rPr>
              <w:t>The report proposes an original locally deployed governance assurance platform that converts secretariat expertise into institutional capability, with phased MVP, controls, measures, stakeholder vantage points and scale logic.</w:t>
            </w:r>
          </w:p>
        </w:tc>
        <w:tc>
          <w:tcPr>
            <w:tcW w:w="2007" w:type="dxa"/>
            <w:shd w:val="clear" w:color="auto" w:fill="EAF1F7"/>
          </w:tcPr>
          <w:p w14:paraId="7F639259" w14:textId="77777777" w:rsidR="00BA232D" w:rsidRDefault="00000000">
            <w:pPr>
              <w:spacing w:after="40" w:line="240" w:lineRule="auto"/>
              <w:rPr>
                <w:rFonts w:cs="Arial"/>
              </w:rPr>
            </w:pPr>
            <w:r>
              <w:rPr>
                <w:rFonts w:cs="Arial"/>
                <w:sz w:val="17"/>
              </w:rPr>
              <w:t>Sections 5, 6, 8 and 12.</w:t>
            </w:r>
          </w:p>
        </w:tc>
      </w:tr>
    </w:tbl>
    <w:p w14:paraId="521ADD57" w14:textId="77777777" w:rsidR="00BA232D" w:rsidRDefault="00BA232D"/>
    <w:p w14:paraId="6BAA3E5A" w14:textId="77777777" w:rsidR="00BA232D" w:rsidRDefault="00BA232D">
      <w:pPr>
        <w:spacing w:after="200" w:line="276" w:lineRule="auto"/>
        <w:rPr>
          <w:rFonts w:cstheme="majorBidi"/>
          <w:b/>
          <w:bCs/>
          <w:color w:val="1F4E79"/>
          <w:sz w:val="32"/>
          <w:szCs w:val="28"/>
        </w:rPr>
      </w:pPr>
    </w:p>
    <w:p w14:paraId="347F9953" w14:textId="77777777" w:rsidR="004F5761" w:rsidRDefault="004F5761">
      <w:pPr>
        <w:spacing w:after="0" w:line="240" w:lineRule="auto"/>
        <w:rPr>
          <w:rFonts w:cstheme="majorBidi"/>
          <w:b/>
          <w:bCs/>
          <w:color w:val="1F4E79"/>
          <w:sz w:val="32"/>
          <w:szCs w:val="28"/>
        </w:rPr>
      </w:pPr>
      <w:bookmarkStart w:id="76" w:name="_Toc234699834"/>
      <w:r>
        <w:br w:type="page"/>
      </w:r>
    </w:p>
    <w:p w14:paraId="7D26E42C" w14:textId="5DB99B17" w:rsidR="00BA232D" w:rsidRDefault="00000000">
      <w:pPr>
        <w:pStyle w:val="Heading1"/>
        <w:spacing w:before="280" w:after="120"/>
      </w:pPr>
      <w:bookmarkStart w:id="77" w:name="_Toc234702436"/>
      <w:r>
        <w:rPr>
          <w:rFonts w:ascii="Arial" w:eastAsia="Arial" w:hAnsi="Arial"/>
        </w:rPr>
        <w:lastRenderedPageBreak/>
        <w:t>References</w:t>
      </w:r>
      <w:bookmarkEnd w:id="76"/>
      <w:bookmarkEnd w:id="77"/>
    </w:p>
    <w:p w14:paraId="580C7853" w14:textId="77777777" w:rsidR="00BA232D" w:rsidRDefault="00000000">
      <w:pPr>
        <w:spacing w:after="0" w:line="240" w:lineRule="auto"/>
        <w:ind w:left="720" w:hanging="720"/>
      </w:pPr>
      <w:r>
        <w:t xml:space="preserve">Argyris, C. (1977). Double loop learning in organizations. </w:t>
      </w:r>
      <w:r>
        <w:rPr>
          <w:i/>
        </w:rPr>
        <w:t>Harvard Business Review, 55</w:t>
      </w:r>
      <w:r>
        <w:t>(5), 115-125.</w:t>
      </w:r>
    </w:p>
    <w:p w14:paraId="7170EA3B" w14:textId="77777777" w:rsidR="00BA232D" w:rsidRDefault="00000000">
      <w:pPr>
        <w:spacing w:after="0" w:line="240" w:lineRule="auto"/>
        <w:ind w:left="720" w:hanging="720"/>
      </w:pPr>
      <w:r>
        <w:t xml:space="preserve">Bar Am, J., </w:t>
      </w:r>
      <w:proofErr w:type="spellStart"/>
      <w:r>
        <w:t>Furstenthal</w:t>
      </w:r>
      <w:proofErr w:type="spellEnd"/>
      <w:r>
        <w:t xml:space="preserve">, L., Jorge, F., &amp; Roth, E. (2020). </w:t>
      </w:r>
      <w:r>
        <w:rPr>
          <w:i/>
        </w:rPr>
        <w:t>Innovation in a crisis: Why it is more critical than ever</w:t>
      </w:r>
      <w:r>
        <w:t>. McKinsey &amp; Company.</w:t>
      </w:r>
    </w:p>
    <w:p w14:paraId="13D6D0B9" w14:textId="77777777" w:rsidR="00BA232D" w:rsidRDefault="00000000">
      <w:pPr>
        <w:spacing w:after="0" w:line="240" w:lineRule="auto"/>
        <w:ind w:left="720" w:hanging="720"/>
      </w:pPr>
      <w:r>
        <w:t xml:space="preserve">Barney, J. B. (1991). Firm resources and sustained competitive advantage. </w:t>
      </w:r>
      <w:r>
        <w:rPr>
          <w:i/>
        </w:rPr>
        <w:t>Journal of Management, 17</w:t>
      </w:r>
      <w:r>
        <w:t>(1), 99-120. https://doi.org/10.1177/014920639101700108</w:t>
      </w:r>
    </w:p>
    <w:p w14:paraId="33120347" w14:textId="77777777" w:rsidR="00BA232D" w:rsidRDefault="00000000">
      <w:pPr>
        <w:spacing w:after="0" w:line="240" w:lineRule="auto"/>
        <w:ind w:left="720" w:hanging="720"/>
      </w:pPr>
      <w:r>
        <w:t xml:space="preserve">Cable, D. (2018). Why people lose motivation, and what managers can do to help. </w:t>
      </w:r>
      <w:r>
        <w:rPr>
          <w:i/>
        </w:rPr>
        <w:t>Harvard Business Review</w:t>
      </w:r>
      <w:r>
        <w:t>.</w:t>
      </w:r>
    </w:p>
    <w:p w14:paraId="55148BDD" w14:textId="77777777" w:rsidR="00BA232D" w:rsidRDefault="00000000">
      <w:pPr>
        <w:spacing w:after="0" w:line="240" w:lineRule="auto"/>
        <w:ind w:left="720" w:hanging="720"/>
      </w:pPr>
      <w:r>
        <w:t xml:space="preserve">Christensen, C. M., Raynor, M. E., &amp; McDonald, R. (2015). What is disruptive innovation? </w:t>
      </w:r>
      <w:r>
        <w:rPr>
          <w:i/>
        </w:rPr>
        <w:t>Harvard Business Review, 93</w:t>
      </w:r>
      <w:r>
        <w:t>(12), 44-53.</w:t>
      </w:r>
    </w:p>
    <w:p w14:paraId="10468BA8" w14:textId="77777777" w:rsidR="00BA232D" w:rsidRDefault="00000000">
      <w:pPr>
        <w:spacing w:after="0" w:line="240" w:lineRule="auto"/>
        <w:ind w:left="720" w:hanging="720"/>
      </w:pPr>
      <w:r>
        <w:t xml:space="preserve">Cohen, D., Quinn, B., &amp; Roth, E. (2019). </w:t>
      </w:r>
      <w:r>
        <w:rPr>
          <w:i/>
        </w:rPr>
        <w:t>The innovation commitment: To catalyse breakthrough growth, leaders must set bold aspirations, make tough choices, and mobilise resources at scale</w:t>
      </w:r>
      <w:r>
        <w:t>. McKinsey &amp; Company.</w:t>
      </w:r>
    </w:p>
    <w:p w14:paraId="7D6874DC" w14:textId="77777777" w:rsidR="00BA232D" w:rsidRDefault="00000000">
      <w:pPr>
        <w:spacing w:after="0" w:line="240" w:lineRule="auto"/>
        <w:ind w:left="720" w:hanging="720"/>
      </w:pPr>
      <w:r>
        <w:t xml:space="preserve">de Jong, M., Marston, N., &amp; Roth, E. (2015). </w:t>
      </w:r>
      <w:r>
        <w:rPr>
          <w:i/>
        </w:rPr>
        <w:t>The eight essentials of innovation</w:t>
      </w:r>
      <w:r>
        <w:t>. McKinsey &amp; Company.</w:t>
      </w:r>
    </w:p>
    <w:p w14:paraId="2B580B0B" w14:textId="77777777" w:rsidR="00BA232D" w:rsidRDefault="00000000">
      <w:pPr>
        <w:spacing w:after="0" w:line="240" w:lineRule="auto"/>
        <w:ind w:left="720" w:hanging="720"/>
      </w:pPr>
      <w:r>
        <w:t xml:space="preserve">Dossa, A. (2026a). </w:t>
      </w:r>
      <w:r>
        <w:rPr>
          <w:i/>
        </w:rPr>
        <w:t xml:space="preserve">Designing supervision frameworks that </w:t>
      </w:r>
      <w:proofErr w:type="gramStart"/>
      <w:r>
        <w:rPr>
          <w:i/>
        </w:rPr>
        <w:t>actually get</w:t>
      </w:r>
      <w:proofErr w:type="gramEnd"/>
      <w:r>
        <w:rPr>
          <w:i/>
        </w:rPr>
        <w:t xml:space="preserve"> used: Lessons from building a central bank model and an early warning system for 200+ companies</w:t>
      </w:r>
      <w:r>
        <w:t xml:space="preserve"> [Internal professional portfolio article]. Public Investment Fund.</w:t>
      </w:r>
    </w:p>
    <w:p w14:paraId="6BAC66DB" w14:textId="77777777" w:rsidR="00BA232D" w:rsidRDefault="00000000">
      <w:pPr>
        <w:spacing w:after="0" w:line="240" w:lineRule="auto"/>
        <w:ind w:left="720" w:hanging="720"/>
      </w:pPr>
      <w:r>
        <w:t xml:space="preserve">Dossa, A. (2026b). </w:t>
      </w:r>
      <w:r>
        <w:rPr>
          <w:i/>
        </w:rPr>
        <w:t>From forensic tech to portfolio governance: What 25 years across Africa, Europe, and Saudi taught me about risk and decision making</w:t>
      </w:r>
      <w:r>
        <w:t xml:space="preserve"> [Internal professional portfolio article]. Public Investment Fund.</w:t>
      </w:r>
    </w:p>
    <w:p w14:paraId="4FF2D2CC" w14:textId="77777777" w:rsidR="00BA232D" w:rsidRDefault="00000000">
      <w:pPr>
        <w:spacing w:after="0" w:line="240" w:lineRule="auto"/>
        <w:ind w:left="720" w:hanging="720"/>
      </w:pPr>
      <w:r>
        <w:t xml:space="preserve">Dossa, A. (2026c). </w:t>
      </w:r>
      <w:r>
        <w:rPr>
          <w:i/>
        </w:rPr>
        <w:t xml:space="preserve">The boardroom reality check: How I use evidence, </w:t>
      </w:r>
      <w:proofErr w:type="spellStart"/>
      <w:r>
        <w:rPr>
          <w:i/>
        </w:rPr>
        <w:t>soundboarding</w:t>
      </w:r>
      <w:proofErr w:type="spellEnd"/>
      <w:r>
        <w:rPr>
          <w:i/>
        </w:rPr>
        <w:t>, and governance discipline to solve high-stakes problems fast</w:t>
      </w:r>
      <w:r>
        <w:t xml:space="preserve"> [Internal professional portfolio article]. Public Investment Fund.</w:t>
      </w:r>
    </w:p>
    <w:p w14:paraId="318DC409" w14:textId="77777777" w:rsidR="00BA232D" w:rsidRDefault="00000000">
      <w:pPr>
        <w:spacing w:after="0" w:line="240" w:lineRule="auto"/>
        <w:ind w:left="720" w:hanging="720"/>
      </w:pPr>
      <w:r>
        <w:t xml:space="preserve">Dossa, A. (2026o). </w:t>
      </w:r>
      <w:r>
        <w:rPr>
          <w:i/>
        </w:rPr>
        <w:t>PCAD Strategic Plan 2026 to 2030</w:t>
      </w:r>
      <w:r>
        <w:t xml:space="preserve"> [PhD by Portfolio Module 1 assignment]. Public Investment Fund.</w:t>
      </w:r>
    </w:p>
    <w:p w14:paraId="26A664A3" w14:textId="77777777" w:rsidR="00BA232D" w:rsidRDefault="00000000">
      <w:pPr>
        <w:spacing w:after="0" w:line="240" w:lineRule="auto"/>
        <w:ind w:left="720" w:hanging="720"/>
      </w:pPr>
      <w:r>
        <w:t xml:space="preserve">Dossa, A. (2026p). </w:t>
      </w:r>
      <w:r>
        <w:rPr>
          <w:i/>
        </w:rPr>
        <w:t>PCAD Collaborative Decision Architecture: A problem-solving and decision-making playbook for PCAD, PIF and portfolio companies</w:t>
      </w:r>
      <w:r>
        <w:t xml:space="preserve"> [PhD by Portfolio Module 2 assignment]. Public Investment Fund.</w:t>
      </w:r>
    </w:p>
    <w:p w14:paraId="586F931C" w14:textId="77777777" w:rsidR="00BA232D" w:rsidRDefault="00000000">
      <w:pPr>
        <w:spacing w:after="0" w:line="240" w:lineRule="auto"/>
        <w:ind w:left="720" w:hanging="720"/>
      </w:pPr>
      <w:r>
        <w:t xml:space="preserve">Dossa, A. (2026q). </w:t>
      </w:r>
      <w:r>
        <w:rPr>
          <w:i/>
        </w:rPr>
        <w:t>Secretariat-in-a-Box: A locally deployed AI governance assistant for Board secretaries</w:t>
      </w:r>
      <w:r>
        <w:t xml:space="preserve"> [Concept brief, working draft]. Public Investment Fund.</w:t>
      </w:r>
    </w:p>
    <w:p w14:paraId="4B6B8777" w14:textId="77777777" w:rsidR="00BA232D" w:rsidRDefault="00000000">
      <w:pPr>
        <w:spacing w:after="0" w:line="240" w:lineRule="auto"/>
        <w:ind w:left="720" w:hanging="720"/>
      </w:pPr>
      <w:r>
        <w:t xml:space="preserve">Dossa, A. (2026r). </w:t>
      </w:r>
      <w:r>
        <w:rPr>
          <w:i/>
        </w:rPr>
        <w:t>Secretariat-in-a-Box: A locally deployed, document-grounded AI assistant for Board and committee secretariat functions</w:t>
      </w:r>
      <w:r>
        <w:t xml:space="preserve"> [Product specification v0.1, working draft]. Public Investment Fund.</w:t>
      </w:r>
    </w:p>
    <w:p w14:paraId="7738C874" w14:textId="77777777" w:rsidR="00BA232D" w:rsidRDefault="00000000">
      <w:pPr>
        <w:spacing w:after="0" w:line="240" w:lineRule="auto"/>
        <w:ind w:left="720" w:hanging="720"/>
      </w:pPr>
      <w:r>
        <w:t xml:space="preserve">Edmondson, A. C. (1999). Psychological safety and learning </w:t>
      </w:r>
      <w:proofErr w:type="spellStart"/>
      <w:r>
        <w:t>behavior</w:t>
      </w:r>
      <w:proofErr w:type="spellEnd"/>
      <w:r>
        <w:t xml:space="preserve"> in work teams. </w:t>
      </w:r>
      <w:r>
        <w:rPr>
          <w:i/>
        </w:rPr>
        <w:t>Administrative Science Quarterly, 44</w:t>
      </w:r>
      <w:r>
        <w:t>(2), 350-383. https://doi.org/10.2307/2666999</w:t>
      </w:r>
    </w:p>
    <w:p w14:paraId="586EFD61" w14:textId="77777777" w:rsidR="00BA232D" w:rsidRDefault="00000000">
      <w:pPr>
        <w:spacing w:after="0" w:line="240" w:lineRule="auto"/>
        <w:ind w:left="720" w:hanging="720"/>
      </w:pPr>
      <w:r>
        <w:t xml:space="preserve">European Commission. (2024). </w:t>
      </w:r>
      <w:r>
        <w:rPr>
          <w:i/>
        </w:rPr>
        <w:t>AI Act enters into force</w:t>
      </w:r>
      <w:r>
        <w:t>. https://commission.europa.eu/news-and-media/news/ai-act-enters-force-2024-08-01_en</w:t>
      </w:r>
    </w:p>
    <w:p w14:paraId="34FB5A2A" w14:textId="77777777" w:rsidR="00BA232D" w:rsidRDefault="00000000">
      <w:pPr>
        <w:spacing w:after="0" w:line="240" w:lineRule="auto"/>
        <w:ind w:left="720" w:hanging="720"/>
      </w:pPr>
      <w:proofErr w:type="spellStart"/>
      <w:r>
        <w:t>Furstenthal</w:t>
      </w:r>
      <w:proofErr w:type="spellEnd"/>
      <w:r>
        <w:t xml:space="preserve">, L., Hirt, M., &amp; Roth, E. (2021). </w:t>
      </w:r>
      <w:r>
        <w:rPr>
          <w:i/>
        </w:rPr>
        <w:t>Innovation: Your launchpad out of the COVID-19 crisis</w:t>
      </w:r>
      <w:r>
        <w:t>. McKinsey &amp; Company.</w:t>
      </w:r>
    </w:p>
    <w:p w14:paraId="29BED4A0" w14:textId="77777777" w:rsidR="00BA232D" w:rsidRDefault="00000000">
      <w:pPr>
        <w:spacing w:after="0" w:line="240" w:lineRule="auto"/>
        <w:ind w:left="720" w:hanging="720"/>
      </w:pPr>
      <w:r>
        <w:t xml:space="preserve">ISO/IEC. (2023). </w:t>
      </w:r>
      <w:r>
        <w:rPr>
          <w:i/>
        </w:rPr>
        <w:t>ISO/IEC 42001:2023 Artificial intelligence management system</w:t>
      </w:r>
      <w:r>
        <w:t>. International Organization for Standardization. https://www.iso.org/standard/42001</w:t>
      </w:r>
    </w:p>
    <w:p w14:paraId="18EFD006" w14:textId="77777777" w:rsidR="00BA232D" w:rsidRDefault="00000000">
      <w:pPr>
        <w:spacing w:after="0" w:line="240" w:lineRule="auto"/>
        <w:ind w:left="720" w:hanging="720"/>
      </w:pPr>
      <w:proofErr w:type="spellStart"/>
      <w:r>
        <w:t>Jesuthasan</w:t>
      </w:r>
      <w:proofErr w:type="spellEnd"/>
      <w:r>
        <w:t xml:space="preserve">, R. (2019). The 8 ways companies get work done, and how to align them. </w:t>
      </w:r>
      <w:r>
        <w:rPr>
          <w:i/>
        </w:rPr>
        <w:t>Harvard Business Review</w:t>
      </w:r>
      <w:r>
        <w:t>.</w:t>
      </w:r>
    </w:p>
    <w:p w14:paraId="430C3E1C" w14:textId="77777777" w:rsidR="00BA232D" w:rsidRDefault="00000000">
      <w:pPr>
        <w:spacing w:after="0" w:line="240" w:lineRule="auto"/>
        <w:ind w:left="720" w:hanging="720"/>
      </w:pPr>
      <w:r>
        <w:t xml:space="preserve">Kirsner, S. (2021). Don't let financial metrics prematurely stifle innovation. </w:t>
      </w:r>
      <w:r>
        <w:rPr>
          <w:i/>
        </w:rPr>
        <w:t>Harvard Business Review</w:t>
      </w:r>
      <w:r>
        <w:t>.</w:t>
      </w:r>
    </w:p>
    <w:p w14:paraId="47B7A066" w14:textId="77777777" w:rsidR="00BA232D" w:rsidRDefault="00000000">
      <w:pPr>
        <w:spacing w:after="0" w:line="240" w:lineRule="auto"/>
        <w:ind w:left="720" w:hanging="720"/>
      </w:pPr>
      <w:r>
        <w:t xml:space="preserve">Kotter, J. P. (1996). </w:t>
      </w:r>
      <w:r>
        <w:rPr>
          <w:i/>
        </w:rPr>
        <w:t>Leading change</w:t>
      </w:r>
      <w:r>
        <w:t>. Harvard Business School Press.</w:t>
      </w:r>
    </w:p>
    <w:p w14:paraId="6A9135EE" w14:textId="77777777" w:rsidR="00BA232D" w:rsidRDefault="00000000">
      <w:pPr>
        <w:spacing w:after="0" w:line="240" w:lineRule="auto"/>
        <w:ind w:left="720" w:hanging="720"/>
      </w:pPr>
      <w:r>
        <w:t xml:space="preserve">March, J. G. (1991). Exploration and exploitation in organizational learning. </w:t>
      </w:r>
      <w:r>
        <w:rPr>
          <w:i/>
        </w:rPr>
        <w:t>Organization Science, 2</w:t>
      </w:r>
      <w:r>
        <w:t>(1), 71-87. https://doi.org/10.1287/orsc.2.1.71</w:t>
      </w:r>
    </w:p>
    <w:p w14:paraId="5FCED33C" w14:textId="77777777" w:rsidR="00BA232D" w:rsidRDefault="00000000">
      <w:pPr>
        <w:spacing w:after="0" w:line="240" w:lineRule="auto"/>
        <w:ind w:left="720" w:hanging="720"/>
      </w:pPr>
      <w:r>
        <w:t xml:space="preserve">Mintzberg, H. (1987). Crafting strategy. </w:t>
      </w:r>
      <w:r>
        <w:rPr>
          <w:i/>
        </w:rPr>
        <w:t>Harvard Business Review, 65</w:t>
      </w:r>
      <w:r>
        <w:t>(4), 66-75.</w:t>
      </w:r>
    </w:p>
    <w:p w14:paraId="1C8A9498" w14:textId="77777777" w:rsidR="00BA232D" w:rsidRDefault="00000000">
      <w:pPr>
        <w:spacing w:after="0" w:line="240" w:lineRule="auto"/>
        <w:ind w:left="720" w:hanging="720"/>
      </w:pPr>
      <w:r>
        <w:t xml:space="preserve">National Institute of Standards and Technology. (2023). </w:t>
      </w:r>
      <w:r>
        <w:rPr>
          <w:i/>
        </w:rPr>
        <w:t>Artificial Intelligence Risk Management Framework (AI RMF 1.0)</w:t>
      </w:r>
      <w:r>
        <w:t xml:space="preserve"> (NIST AI 100-1). https://doi.org/10.6028/NIST.AI.100-1</w:t>
      </w:r>
    </w:p>
    <w:p w14:paraId="0B733EFF" w14:textId="77777777" w:rsidR="00BA232D" w:rsidRDefault="00000000">
      <w:pPr>
        <w:spacing w:after="0" w:line="240" w:lineRule="auto"/>
        <w:ind w:left="720" w:hanging="720"/>
      </w:pPr>
      <w:r>
        <w:t xml:space="preserve">OECD. (2023). </w:t>
      </w:r>
      <w:r>
        <w:rPr>
          <w:i/>
        </w:rPr>
        <w:t>G20/OECD principles of corporate governance 2023</w:t>
      </w:r>
      <w:r>
        <w:t>. OECD Publishing. https://doi.org/10.1787/ed750b30-en</w:t>
      </w:r>
    </w:p>
    <w:p w14:paraId="5F4483D1" w14:textId="77777777" w:rsidR="00BA232D" w:rsidRDefault="00000000">
      <w:pPr>
        <w:spacing w:after="0" w:line="240" w:lineRule="auto"/>
        <w:ind w:left="720" w:hanging="720"/>
        <w:rPr>
          <w:lang w:val="fr-FR"/>
        </w:rPr>
      </w:pPr>
      <w:r w:rsidRPr="008753EF">
        <w:rPr>
          <w:lang w:val="fr-FR"/>
        </w:rPr>
        <w:t xml:space="preserve">OECD. (2024). </w:t>
      </w:r>
      <w:r w:rsidRPr="008753EF">
        <w:rPr>
          <w:i/>
          <w:lang w:val="fr-FR"/>
        </w:rPr>
        <w:t>OECD AI Principles</w:t>
      </w:r>
      <w:r w:rsidRPr="008753EF">
        <w:rPr>
          <w:lang w:val="fr-FR"/>
        </w:rPr>
        <w:t>. https://oecd.ai/en/ai-principles</w:t>
      </w:r>
    </w:p>
    <w:p w14:paraId="6281D831" w14:textId="77777777" w:rsidR="00BA232D" w:rsidRDefault="00000000">
      <w:pPr>
        <w:spacing w:after="0" w:line="240" w:lineRule="auto"/>
        <w:ind w:left="720" w:hanging="720"/>
      </w:pPr>
      <w:r>
        <w:lastRenderedPageBreak/>
        <w:t xml:space="preserve">Portfolio Companies Affairs Department. (2026a). </w:t>
      </w:r>
      <w:r>
        <w:rPr>
          <w:i/>
        </w:rPr>
        <w:t>PCAD controlled stabilisation structure and mandate design</w:t>
      </w:r>
      <w:r>
        <w:t xml:space="preserve"> [Internal working paper]. Public Investment Fund.</w:t>
      </w:r>
    </w:p>
    <w:p w14:paraId="2A4FC5E4" w14:textId="77777777" w:rsidR="00BA232D" w:rsidRDefault="00000000">
      <w:pPr>
        <w:spacing w:after="0" w:line="240" w:lineRule="auto"/>
        <w:ind w:left="720" w:hanging="720"/>
      </w:pPr>
      <w:r>
        <w:t xml:space="preserve">Portfolio Companies Affairs Department. (2026b). </w:t>
      </w:r>
      <w:r>
        <w:rPr>
          <w:i/>
        </w:rPr>
        <w:t>PIF Board Secretary Manual</w:t>
      </w:r>
      <w:r>
        <w:t xml:space="preserve"> [Internal manual]. Public Investment Fund.</w:t>
      </w:r>
    </w:p>
    <w:p w14:paraId="5167797E" w14:textId="77777777" w:rsidR="00BA232D" w:rsidRDefault="00000000">
      <w:pPr>
        <w:spacing w:after="0" w:line="240" w:lineRule="auto"/>
        <w:ind w:left="720" w:hanging="720"/>
      </w:pPr>
      <w:r>
        <w:t xml:space="preserve">Public Investment Fund. (2025). </w:t>
      </w:r>
      <w:r>
        <w:rPr>
          <w:i/>
        </w:rPr>
        <w:t>Annual report 2024</w:t>
      </w:r>
      <w:r>
        <w:t>. https://www.pif.gov.sa/en/investors/annual-reports/</w:t>
      </w:r>
    </w:p>
    <w:p w14:paraId="09ACC36C" w14:textId="77777777" w:rsidR="00BA232D" w:rsidRDefault="00000000">
      <w:pPr>
        <w:spacing w:after="0" w:line="240" w:lineRule="auto"/>
        <w:ind w:left="720" w:hanging="720"/>
      </w:pPr>
      <w:r>
        <w:t xml:space="preserve">Public Investment Fund. (2026a). </w:t>
      </w:r>
      <w:r>
        <w:rPr>
          <w:i/>
        </w:rPr>
        <w:t>PIF strategy 2026-2030: Sustained value creation</w:t>
      </w:r>
      <w:r>
        <w:t>. https://www.pif.gov.sa/en/strategy-and-impact/our-strategy/</w:t>
      </w:r>
    </w:p>
    <w:p w14:paraId="43D1C83F" w14:textId="77777777" w:rsidR="00BA232D" w:rsidRDefault="00000000">
      <w:pPr>
        <w:spacing w:after="0" w:line="240" w:lineRule="auto"/>
        <w:ind w:left="720" w:hanging="720"/>
      </w:pPr>
      <w:r>
        <w:t xml:space="preserve">Saudi Data &amp; AI Authority. (2026a). </w:t>
      </w:r>
      <w:r>
        <w:rPr>
          <w:i/>
        </w:rPr>
        <w:t>National Data Management Office</w:t>
      </w:r>
      <w:r>
        <w:t>. https://sdaia.gov.sa/en/Sectors/Ndmo/Pages/default.aspx</w:t>
      </w:r>
    </w:p>
    <w:p w14:paraId="61FBF3B3" w14:textId="77777777" w:rsidR="00BA232D" w:rsidRDefault="00000000">
      <w:pPr>
        <w:spacing w:after="0" w:line="240" w:lineRule="auto"/>
        <w:ind w:left="720" w:hanging="720"/>
      </w:pPr>
      <w:r>
        <w:t xml:space="preserve">Saudi Data &amp; AI Authority. (2026b). </w:t>
      </w:r>
      <w:r>
        <w:rPr>
          <w:i/>
        </w:rPr>
        <w:t>National strategy for data and AI</w:t>
      </w:r>
      <w:r>
        <w:t>. https://sdaia.gov.sa/en/SDAIA/SdaiaStrategies/Pages/NationalStrategyForDataAndAI.aspx</w:t>
      </w:r>
    </w:p>
    <w:p w14:paraId="19C0F990" w14:textId="77777777" w:rsidR="00BA232D" w:rsidRDefault="00000000">
      <w:pPr>
        <w:spacing w:after="0" w:line="240" w:lineRule="auto"/>
        <w:ind w:left="720" w:hanging="720"/>
      </w:pPr>
      <w:r>
        <w:t xml:space="preserve">Schein, E. H. (2010). </w:t>
      </w:r>
      <w:r>
        <w:rPr>
          <w:i/>
        </w:rPr>
        <w:t>Organizational culture and leadership</w:t>
      </w:r>
      <w:r>
        <w:t xml:space="preserve"> (4th ed.). Jossey-Bass.</w:t>
      </w:r>
    </w:p>
    <w:p w14:paraId="1B32D37E" w14:textId="77777777" w:rsidR="00BA232D" w:rsidRDefault="00000000">
      <w:pPr>
        <w:spacing w:after="0" w:line="240" w:lineRule="auto"/>
        <w:ind w:left="720" w:hanging="720"/>
      </w:pPr>
      <w:r>
        <w:t xml:space="preserve">Teece, D. J. (2007). Explicating dynamic capabilities: The nature and </w:t>
      </w:r>
      <w:proofErr w:type="spellStart"/>
      <w:r>
        <w:t>microfoundations</w:t>
      </w:r>
      <w:proofErr w:type="spellEnd"/>
      <w:r>
        <w:t xml:space="preserve"> of sustainable enterprise performance. </w:t>
      </w:r>
      <w:r>
        <w:rPr>
          <w:i/>
        </w:rPr>
        <w:t>Strategic Management Journal, 28</w:t>
      </w:r>
      <w:r>
        <w:t>(13), 1319-1350. https://doi.org/10.1002/smj.640</w:t>
      </w:r>
    </w:p>
    <w:p w14:paraId="07E85BDF" w14:textId="77777777" w:rsidR="00BA232D" w:rsidRDefault="00000000">
      <w:pPr>
        <w:spacing w:after="0" w:line="240" w:lineRule="auto"/>
        <w:ind w:left="720" w:hanging="720"/>
      </w:pPr>
      <w:r>
        <w:t xml:space="preserve">Weick, K. E., &amp; Sutcliffe, K. M. (2015). </w:t>
      </w:r>
      <w:r>
        <w:rPr>
          <w:i/>
        </w:rPr>
        <w:t>Managing the unexpected: Sustained performance in a complex world</w:t>
      </w:r>
      <w:r>
        <w:t xml:space="preserve"> (3rd ed.). Wiley.</w:t>
      </w:r>
    </w:p>
    <w:sectPr w:rsidR="00BA232D">
      <w:headerReference w:type="even" r:id="rId8"/>
      <w:headerReference w:type="default" r:id="rId9"/>
      <w:footerReference w:type="even" r:id="rId10"/>
      <w:footerReference w:type="default" r:id="rId11"/>
      <w:headerReference w:type="first" r:id="rId12"/>
      <w:footerReference w:type="first" r:id="rId13"/>
      <w:pgSz w:w="11906" w:h="16838"/>
      <w:pgMar w:top="1080" w:right="1080" w:bottom="1080" w:left="1080" w:header="360" w:footer="36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8D6E9" w14:textId="77777777" w:rsidR="005D769D" w:rsidRDefault="005D769D">
      <w:pPr>
        <w:spacing w:after="0" w:line="240" w:lineRule="auto"/>
      </w:pPr>
      <w:r>
        <w:separator/>
      </w:r>
    </w:p>
  </w:endnote>
  <w:endnote w:type="continuationSeparator" w:id="0">
    <w:p w14:paraId="733A2771" w14:textId="77777777" w:rsidR="005D769D" w:rsidRDefault="005D7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roman"/>
    <w:pitch w:val="variable"/>
  </w:font>
  <w:font w:name="Liberation Sans">
    <w:altName w:val="Arial"/>
    <w:charset w:val="00"/>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03A0" w14:textId="77777777" w:rsidR="00BA232D" w:rsidRDefault="00BA23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DCC9" w14:textId="77777777" w:rsidR="00BA232D" w:rsidRDefault="00000000">
    <w:pPr>
      <w:pStyle w:val="Footer"/>
      <w:jc w:val="center"/>
    </w:pPr>
    <w:r>
      <w:rPr>
        <w:color w:val="646464"/>
        <w:sz w:val="16"/>
      </w:rPr>
      <w:t>PhD by Portfolio - Reinvention and Disruptive Innovation in Professional Practice</w:t>
    </w:r>
    <w:r>
      <w:rPr>
        <w:color w:val="646464"/>
        <w:sz w:val="16"/>
      </w:rPr>
      <w:tab/>
      <w:t xml:space="preserve">Page </w:t>
    </w:r>
    <w:r>
      <w:rPr>
        <w:b/>
        <w:bCs/>
        <w:color w:val="646464"/>
        <w:sz w:val="16"/>
      </w:rPr>
      <w:fldChar w:fldCharType="begin"/>
    </w:r>
    <w:r>
      <w:rPr>
        <w:b/>
        <w:bCs/>
        <w:color w:val="646464"/>
        <w:sz w:val="16"/>
      </w:rPr>
      <w:instrText xml:space="preserve"> PAGE \* ARABIC </w:instrText>
    </w:r>
    <w:r>
      <w:rPr>
        <w:b/>
        <w:bCs/>
        <w:color w:val="646464"/>
        <w:sz w:val="16"/>
      </w:rPr>
      <w:fldChar w:fldCharType="separate"/>
    </w:r>
    <w:r>
      <w:rPr>
        <w:b/>
        <w:bCs/>
        <w:color w:val="646464"/>
        <w:sz w:val="16"/>
      </w:rPr>
      <w:t>23</w:t>
    </w:r>
    <w:r>
      <w:rPr>
        <w:b/>
        <w:bCs/>
        <w:color w:val="646464"/>
        <w:sz w:val="16"/>
      </w:rPr>
      <w:fldChar w:fldCharType="end"/>
    </w:r>
    <w:r>
      <w:rPr>
        <w:color w:val="646464"/>
        <w:sz w:val="16"/>
      </w:rPr>
      <w:t xml:space="preserve"> of </w:t>
    </w:r>
    <w:r>
      <w:rPr>
        <w:b/>
        <w:bCs/>
        <w:color w:val="646464"/>
        <w:sz w:val="16"/>
      </w:rPr>
      <w:fldChar w:fldCharType="begin"/>
    </w:r>
    <w:r>
      <w:rPr>
        <w:b/>
        <w:bCs/>
        <w:color w:val="646464"/>
        <w:sz w:val="16"/>
      </w:rPr>
      <w:instrText xml:space="preserve"> NUMPAGES \* ARABIC </w:instrText>
    </w:r>
    <w:r>
      <w:rPr>
        <w:b/>
        <w:bCs/>
        <w:color w:val="646464"/>
        <w:sz w:val="16"/>
      </w:rPr>
      <w:fldChar w:fldCharType="separate"/>
    </w:r>
    <w:r>
      <w:rPr>
        <w:b/>
        <w:bCs/>
        <w:color w:val="646464"/>
        <w:sz w:val="16"/>
      </w:rPr>
      <w:t>23</w:t>
    </w:r>
    <w:r>
      <w:rPr>
        <w:b/>
        <w:bCs/>
        <w:color w:val="646464"/>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1A80C" w14:textId="77777777" w:rsidR="00BA232D" w:rsidRDefault="00000000">
    <w:pPr>
      <w:pStyle w:val="Footer"/>
      <w:jc w:val="center"/>
    </w:pPr>
    <w:r>
      <w:rPr>
        <w:color w:val="646464"/>
        <w:sz w:val="16"/>
      </w:rPr>
      <w:t>PhD by Portfolio - Reinvention and Disruptive Innovation in Professional Practice</w:t>
    </w:r>
    <w:r>
      <w:rPr>
        <w:color w:val="646464"/>
        <w:sz w:val="16"/>
      </w:rPr>
      <w:tab/>
      <w:t xml:space="preserve">Page </w:t>
    </w:r>
    <w:r>
      <w:rPr>
        <w:b/>
        <w:bCs/>
        <w:color w:val="646464"/>
        <w:sz w:val="16"/>
      </w:rPr>
      <w:fldChar w:fldCharType="begin"/>
    </w:r>
    <w:r>
      <w:rPr>
        <w:b/>
        <w:bCs/>
        <w:color w:val="646464"/>
        <w:sz w:val="16"/>
      </w:rPr>
      <w:instrText xml:space="preserve"> PAGE \* ARABIC </w:instrText>
    </w:r>
    <w:r>
      <w:rPr>
        <w:b/>
        <w:bCs/>
        <w:color w:val="646464"/>
        <w:sz w:val="16"/>
      </w:rPr>
      <w:fldChar w:fldCharType="separate"/>
    </w:r>
    <w:r>
      <w:rPr>
        <w:b/>
        <w:bCs/>
        <w:color w:val="646464"/>
        <w:sz w:val="16"/>
      </w:rPr>
      <w:t>23</w:t>
    </w:r>
    <w:r>
      <w:rPr>
        <w:b/>
        <w:bCs/>
        <w:color w:val="646464"/>
        <w:sz w:val="16"/>
      </w:rPr>
      <w:fldChar w:fldCharType="end"/>
    </w:r>
    <w:r>
      <w:rPr>
        <w:color w:val="646464"/>
        <w:sz w:val="16"/>
      </w:rPr>
      <w:t xml:space="preserve"> of </w:t>
    </w:r>
    <w:r>
      <w:rPr>
        <w:b/>
        <w:bCs/>
        <w:color w:val="646464"/>
        <w:sz w:val="16"/>
      </w:rPr>
      <w:fldChar w:fldCharType="begin"/>
    </w:r>
    <w:r>
      <w:rPr>
        <w:b/>
        <w:bCs/>
        <w:color w:val="646464"/>
        <w:sz w:val="16"/>
      </w:rPr>
      <w:instrText xml:space="preserve"> NUMPAGES \* ARABIC </w:instrText>
    </w:r>
    <w:r>
      <w:rPr>
        <w:b/>
        <w:bCs/>
        <w:color w:val="646464"/>
        <w:sz w:val="16"/>
      </w:rPr>
      <w:fldChar w:fldCharType="separate"/>
    </w:r>
    <w:r>
      <w:rPr>
        <w:b/>
        <w:bCs/>
        <w:color w:val="646464"/>
        <w:sz w:val="16"/>
      </w:rPr>
      <w:t>23</w:t>
    </w:r>
    <w:r>
      <w:rPr>
        <w:b/>
        <w:bCs/>
        <w:color w:val="646464"/>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C84EE" w14:textId="77777777" w:rsidR="005D769D" w:rsidRDefault="005D769D">
      <w:pPr>
        <w:spacing w:after="0" w:line="240" w:lineRule="auto"/>
      </w:pPr>
      <w:r>
        <w:separator/>
      </w:r>
    </w:p>
  </w:footnote>
  <w:footnote w:type="continuationSeparator" w:id="0">
    <w:p w14:paraId="643F34D3" w14:textId="77777777" w:rsidR="005D769D" w:rsidRDefault="005D7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DE6C1" w14:textId="77777777" w:rsidR="00BA232D" w:rsidRDefault="00BA23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4813" w14:textId="77777777" w:rsidR="00BA232D" w:rsidRDefault="00000000">
    <w:pPr>
      <w:pStyle w:val="Header"/>
      <w:jc w:val="right"/>
    </w:pPr>
    <w:r>
      <w:rPr>
        <w:color w:val="646464"/>
        <w:sz w:val="16"/>
      </w:rPr>
      <w:t>Secretariat-in-a-Box | Module 3 Capstone Report | Altaf Dossa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782E" w14:textId="77777777" w:rsidR="00BA232D" w:rsidRDefault="00000000">
    <w:pPr>
      <w:pStyle w:val="Header"/>
      <w:jc w:val="right"/>
    </w:pPr>
    <w:r>
      <w:rPr>
        <w:color w:val="646464"/>
        <w:sz w:val="16"/>
      </w:rPr>
      <w:t>Secretariat-in-a-Box | Module 3 Capstone Report | Altaf Dossa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464FD"/>
    <w:multiLevelType w:val="multilevel"/>
    <w:tmpl w:val="0B9E212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1A7828BB"/>
    <w:multiLevelType w:val="multilevel"/>
    <w:tmpl w:val="79343B6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286902D9"/>
    <w:multiLevelType w:val="multilevel"/>
    <w:tmpl w:val="60703BC8"/>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DAB0EC1"/>
    <w:multiLevelType w:val="multilevel"/>
    <w:tmpl w:val="85847CD0"/>
    <w:lvl w:ilvl="0">
      <w:start w:val="1"/>
      <w:numFmt w:val="decimal"/>
      <w:pStyle w:val="ListNumber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3FF8534B"/>
    <w:multiLevelType w:val="multilevel"/>
    <w:tmpl w:val="61624C9C"/>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15:restartNumberingAfterBreak="0">
    <w:nsid w:val="467538A4"/>
    <w:multiLevelType w:val="multilevel"/>
    <w:tmpl w:val="7B0E515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8176B69"/>
    <w:multiLevelType w:val="multilevel"/>
    <w:tmpl w:val="E5C2D944"/>
    <w:lvl w:ilvl="0">
      <w:start w:val="1"/>
      <w:numFmt w:val="bullet"/>
      <w:pStyle w:val="ListBullet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98955D0"/>
    <w:multiLevelType w:val="multilevel"/>
    <w:tmpl w:val="C7021E5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 w15:restartNumberingAfterBreak="0">
    <w:nsid w:val="4C9E1090"/>
    <w:multiLevelType w:val="multilevel"/>
    <w:tmpl w:val="2F1EE38C"/>
    <w:lvl w:ilvl="0">
      <w:start w:val="1"/>
      <w:numFmt w:val="decimal"/>
      <w:pStyle w:val="ListNumb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F0C3241"/>
    <w:multiLevelType w:val="multilevel"/>
    <w:tmpl w:val="5C24620C"/>
    <w:lvl w:ilvl="0">
      <w:start w:val="1"/>
      <w:numFmt w:val="decimal"/>
      <w:pStyle w:val="ListNumber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52B4796"/>
    <w:multiLevelType w:val="multilevel"/>
    <w:tmpl w:val="2976E94E"/>
    <w:lvl w:ilvl="0">
      <w:start w:val="1"/>
      <w:numFmt w:val="bullet"/>
      <w:pStyle w:val="ListBullet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671640290">
    <w:abstractNumId w:val="2"/>
  </w:num>
  <w:num w:numId="2" w16cid:durableId="540559650">
    <w:abstractNumId w:val="10"/>
  </w:num>
  <w:num w:numId="3" w16cid:durableId="1884907880">
    <w:abstractNumId w:val="6"/>
  </w:num>
  <w:num w:numId="4" w16cid:durableId="373164175">
    <w:abstractNumId w:val="8"/>
  </w:num>
  <w:num w:numId="5" w16cid:durableId="1452629019">
    <w:abstractNumId w:val="3"/>
  </w:num>
  <w:num w:numId="6" w16cid:durableId="1166941747">
    <w:abstractNumId w:val="9"/>
  </w:num>
  <w:num w:numId="7" w16cid:durableId="908462710">
    <w:abstractNumId w:val="4"/>
  </w:num>
  <w:num w:numId="8" w16cid:durableId="1695112710">
    <w:abstractNumId w:val="0"/>
  </w:num>
  <w:num w:numId="9" w16cid:durableId="1380937941">
    <w:abstractNumId w:val="1"/>
  </w:num>
  <w:num w:numId="10" w16cid:durableId="1317343945">
    <w:abstractNumId w:val="7"/>
  </w:num>
  <w:num w:numId="11" w16cid:durableId="10905438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32D"/>
    <w:rsid w:val="004F5761"/>
    <w:rsid w:val="005D769D"/>
    <w:rsid w:val="007336C2"/>
    <w:rsid w:val="00795CCC"/>
    <w:rsid w:val="008753EF"/>
    <w:rsid w:val="00BA232D"/>
    <w:rsid w:val="00DE0CBA"/>
    <w:rsid w:val="00FC13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7A581"/>
  <w15:docId w15:val="{A1DF4FC5-439D-44F6-98E6-E53C2EAB5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rial" w:hAnsi="Arial"/>
      <w:lang w:val="en-GB"/>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4E79"/>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E618BF"/>
  </w:style>
  <w:style w:type="character" w:customStyle="1" w:styleId="FooterChar">
    <w:name w:val="Footer Char"/>
    <w:basedOn w:val="DefaultParagraphFont"/>
    <w:link w:val="Footer"/>
    <w:uiPriority w:val="99"/>
    <w:qFormat/>
    <w:rsid w:val="00E618BF"/>
  </w:style>
  <w:style w:type="character" w:customStyle="1" w:styleId="Heading1Char">
    <w:name w:val="Heading 1 Char"/>
    <w:basedOn w:val="DefaultParagraphFont"/>
    <w:link w:val="Heading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rsid w:val="00AA1D8D"/>
  </w:style>
  <w:style w:type="character" w:customStyle="1" w:styleId="BodyText2Char">
    <w:name w:val="Body Text 2 Char"/>
    <w:basedOn w:val="DefaultParagraphFont"/>
    <w:link w:val="BodyText2"/>
    <w:uiPriority w:val="99"/>
    <w:qFormat/>
    <w:rsid w:val="00AA1D8D"/>
  </w:style>
  <w:style w:type="character" w:customStyle="1" w:styleId="BodyText3Char">
    <w:name w:val="Body Text 3 Char"/>
    <w:basedOn w:val="DefaultParagraphFont"/>
    <w:link w:val="BodyText3"/>
    <w:uiPriority w:val="99"/>
    <w:qFormat/>
    <w:rsid w:val="00AA1D8D"/>
    <w:rPr>
      <w:sz w:val="16"/>
      <w:szCs w:val="16"/>
    </w:rPr>
  </w:style>
  <w:style w:type="character" w:customStyle="1" w:styleId="MacroTextChar">
    <w:name w:val="Macro Text Char"/>
    <w:basedOn w:val="DefaultParagraphFont"/>
    <w:link w:val="MacroText"/>
    <w:uiPriority w:val="99"/>
    <w:qFormat/>
    <w:rsid w:val="0029639D"/>
    <w:rPr>
      <w:rFonts w:ascii="Courier" w:hAnsi="Courier"/>
      <w:sz w:val="20"/>
      <w:szCs w:val="20"/>
    </w:rPr>
  </w:style>
  <w:style w:type="character" w:customStyle="1" w:styleId="QuoteChar">
    <w:name w:val="Quote Char"/>
    <w:basedOn w:val="DefaultParagraphFont"/>
    <w:link w:val="Quote"/>
    <w:uiPriority w:val="29"/>
    <w:qFormat/>
    <w:rsid w:val="00FC693F"/>
    <w:rPr>
      <w:i/>
      <w:iCs/>
      <w:color w:val="000000" w:themeColor="text1"/>
    </w:rPr>
  </w:style>
  <w:style w:type="character" w:customStyle="1" w:styleId="Heading4Char">
    <w:name w:val="Heading 4 Char"/>
    <w:basedOn w:val="DefaultParagraphFont"/>
    <w:link w:val="Heading4"/>
    <w:uiPriority w:val="9"/>
    <w:semiHidden/>
    <w:qFormat/>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customStyle="1" w:styleId="IntenseQuoteChar">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basedOn w:val="DefaultParagraphFont"/>
    <w:uiPriority w:val="99"/>
    <w:unhideWhenUsed/>
    <w:rsid w:val="00236FB4"/>
    <w:rPr>
      <w:color w:val="0000FF" w:themeColor="hyperlink"/>
      <w:u w:val="single"/>
    </w:rPr>
  </w:style>
  <w:style w:type="character" w:customStyle="1" w:styleId="IndexLink">
    <w:name w:val="Index Link"/>
    <w:qFormat/>
  </w:style>
  <w:style w:type="paragraph" w:customStyle="1" w:styleId="Heading">
    <w:name w:val="Heading"/>
    <w:basedOn w:val="Normal"/>
    <w:next w:val="BodyText"/>
    <w:qFormat/>
    <w:pPr>
      <w:keepNext/>
      <w:spacing w:before="240"/>
    </w:pPr>
    <w:rPr>
      <w:rFonts w:ascii="Liberation Sans" w:eastAsia="Noto Sans CJK SC" w:hAnsi="Liberation Sans" w:cs="Lohit Devanagari"/>
      <w:sz w:val="28"/>
      <w:szCs w:val="28"/>
    </w:rPr>
  </w:style>
  <w:style w:type="paragraph" w:styleId="BodyText">
    <w:name w:val="Body Text"/>
    <w:basedOn w:val="Normal"/>
    <w:link w:val="BodyTextChar"/>
    <w:uiPriority w:val="99"/>
    <w:unhideWhenUsed/>
    <w:rsid w:val="00AA1D8D"/>
  </w:style>
  <w:style w:type="paragraph" w:styleId="List">
    <w:name w:val="List"/>
    <w:basedOn w:val="Normal"/>
    <w:uiPriority w:val="99"/>
    <w:unhideWhenUsed/>
    <w:rsid w:val="00AA1D8D"/>
    <w:pPr>
      <w:ind w:left="360" w:hanging="360"/>
      <w:contextualSpacing/>
    </w:pPr>
  </w:style>
  <w:style w:type="paragraph" w:styleId="Caption">
    <w:name w:val="caption"/>
    <w:basedOn w:val="Normal"/>
    <w:next w:val="Normal"/>
    <w:uiPriority w:val="35"/>
    <w:semiHidden/>
    <w:unhideWhenUsed/>
    <w:qFormat/>
    <w:rsid w:val="00FC693F"/>
    <w:pPr>
      <w:spacing w:line="240" w:lineRule="auto"/>
    </w:pPr>
    <w:rPr>
      <w:bCs/>
      <w:i/>
      <w:color w:val="4F81BD" w:themeColor="accent1"/>
      <w:sz w:val="18"/>
      <w:szCs w:val="18"/>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paragraph" w:styleId="NoSpacing">
    <w:name w:val="No Spacing"/>
    <w:uiPriority w:val="1"/>
    <w:qFormat/>
    <w:rsid w:val="00FC693F"/>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Subtitle">
    <w:name w:val="Subtitle"/>
    <w:basedOn w:val="Normal"/>
    <w:next w:val="Normal"/>
    <w:link w:val="SubtitleChar"/>
    <w:uiPriority w:val="11"/>
    <w:qFormat/>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2">
    <w:name w:val="Body Text 2"/>
    <w:basedOn w:val="Normal"/>
    <w:link w:val="BodyText2Char"/>
    <w:uiPriority w:val="99"/>
    <w:unhideWhenUsed/>
    <w:qFormat/>
    <w:rsid w:val="00AA1D8D"/>
    <w:pPr>
      <w:spacing w:line="480" w:lineRule="auto"/>
    </w:pPr>
  </w:style>
  <w:style w:type="paragraph" w:styleId="BodyText3">
    <w:name w:val="Body Text 3"/>
    <w:basedOn w:val="Normal"/>
    <w:link w:val="BodyText3Char"/>
    <w:uiPriority w:val="99"/>
    <w:unhideWhenUsed/>
    <w:qFormat/>
    <w:rsid w:val="00AA1D8D"/>
    <w:rPr>
      <w:sz w:val="16"/>
      <w:szCs w:val="16"/>
    </w:rPr>
  </w:style>
  <w:style w:type="paragraph" w:styleId="List2">
    <w:name w:val="List 2"/>
    <w:basedOn w:val="Normal"/>
    <w:uiPriority w:val="99"/>
    <w:unhideWhenUsed/>
    <w:qFormat/>
    <w:rsid w:val="00326F90"/>
    <w:pPr>
      <w:ind w:left="720" w:hanging="360"/>
      <w:contextualSpacing/>
    </w:pPr>
  </w:style>
  <w:style w:type="paragraph" w:styleId="List3">
    <w:name w:val="List 3"/>
    <w:basedOn w:val="Normal"/>
    <w:uiPriority w:val="99"/>
    <w:unhideWhenUsed/>
    <w:qFormat/>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IndexHeading">
    <w:name w:val="index heading"/>
    <w:basedOn w:val="Heading"/>
  </w:style>
  <w:style w:type="paragraph" w:styleId="TOCHeading">
    <w:name w:val="TOC Heading"/>
    <w:basedOn w:val="Heading1"/>
    <w:next w:val="Normal"/>
    <w:uiPriority w:val="39"/>
    <w:unhideWhenUsed/>
    <w:qFormat/>
    <w:rsid w:val="00FC693F"/>
    <w:pPr>
      <w:outlineLvl w:val="9"/>
    </w:pPr>
  </w:style>
  <w:style w:type="paragraph" w:styleId="TOC1">
    <w:name w:val="toc 1"/>
    <w:basedOn w:val="Normal"/>
    <w:next w:val="Normal"/>
    <w:autoRedefine/>
    <w:uiPriority w:val="39"/>
    <w:unhideWhenUsed/>
    <w:rsid w:val="00612AFC"/>
    <w:pPr>
      <w:tabs>
        <w:tab w:val="right" w:leader="dot" w:pos="9736"/>
      </w:tabs>
      <w:spacing w:after="0"/>
    </w:pPr>
  </w:style>
  <w:style w:type="paragraph" w:styleId="TOC2">
    <w:name w:val="toc 2"/>
    <w:basedOn w:val="Normal"/>
    <w:next w:val="Normal"/>
    <w:autoRedefine/>
    <w:uiPriority w:val="39"/>
    <w:unhideWhenUsed/>
    <w:rsid w:val="00236FB4"/>
    <w:pPr>
      <w:spacing w:after="100"/>
      <w:ind w:left="220"/>
    </w:pPr>
  </w:style>
  <w:style w:type="paragraph" w:styleId="TOC3">
    <w:name w:val="toc 3"/>
    <w:basedOn w:val="Normal"/>
    <w:next w:val="Normal"/>
    <w:autoRedefine/>
    <w:uiPriority w:val="39"/>
    <w:unhideWhenUsed/>
    <w:rsid w:val="00236FB4"/>
    <w:pPr>
      <w:spacing w:after="100"/>
      <w:ind w:left="440"/>
    </w:pPr>
  </w:style>
  <w:style w:type="paragraph" w:styleId="NormalWeb">
    <w:name w:val="Normal (Web)"/>
    <w:basedOn w:val="Normal"/>
    <w:uiPriority w:val="99"/>
    <w:semiHidden/>
    <w:unhideWhenUsed/>
    <w:qFormat/>
    <w:rsid w:val="00A642AF"/>
    <w:rPr>
      <w:rFonts w:ascii="Times New Roman" w:hAnsi="Times New Roman" w:cs="Times New Roman"/>
      <w:sz w:val="24"/>
      <w:szCs w:val="24"/>
    </w:rPr>
  </w:style>
  <w:style w:type="table" w:styleId="TableGrid">
    <w:name w:val="Table Grid"/>
    <w:basedOn w:val="TableNormal"/>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791</TotalTime>
  <Pages>30</Pages>
  <Words>12757</Words>
  <Characters>72720</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cp:lastModifiedBy>
  <cp:revision>3</cp:revision>
  <dcterms:created xsi:type="dcterms:W3CDTF">2026-07-11T19:24:00Z</dcterms:created>
  <dcterms:modified xsi:type="dcterms:W3CDTF">2026-07-11T19:46:00Z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2026-07-09T20:15:00Z</dcterms:created>
  <dc:creator>python-docx</dc:creator>
  <dc:description>generated by python-docx</dc:description>
  <dc:language>en-US</dc:language>
  <cp:lastModifiedBy/>
  <cp:lastPrinted>2026-07-08T20:26:00Z</cp:lastPrinted>
  <dcterms:modified xsi:type="dcterms:W3CDTF">2026-07-11T19:16:47Z</dcterms:modified>
  <cp:revision>15</cp:revision>
  <dc:subject/>
  <dc:title/>
</cp:coreProperties>
</file>